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23C2F">
      <w:pPr>
        <w:numPr>
          <w:ilvl w:val="0"/>
          <w:numId w:val="0"/>
        </w:numPr>
        <w:jc w:val="both"/>
        <w:rPr>
          <w:rFonts w:hint="eastAsia" w:ascii="仿宋_GB2312" w:eastAsia="仿宋_GB2312"/>
          <w:b w:val="0"/>
          <w:bCs w:val="0"/>
          <w:sz w:val="32"/>
          <w:szCs w:val="32"/>
          <w:lang w:val="en-US" w:eastAsia="zh-CN"/>
        </w:rPr>
      </w:pPr>
      <w:r>
        <w:rPr>
          <w:rFonts w:hint="eastAsia" w:ascii="仿宋_GB2312" w:eastAsia="仿宋_GB2312"/>
          <w:b w:val="0"/>
          <w:bCs w:val="0"/>
          <w:sz w:val="32"/>
          <w:szCs w:val="32"/>
          <w:lang w:val="en-US" w:eastAsia="zh-CN"/>
        </w:rPr>
        <w:t>附件2：</w:t>
      </w:r>
    </w:p>
    <w:p w14:paraId="67A957E0">
      <w:pPr>
        <w:numPr>
          <w:ilvl w:val="0"/>
          <w:numId w:val="0"/>
        </w:numPr>
        <w:jc w:val="both"/>
        <w:rPr>
          <w:rFonts w:hint="eastAsia"/>
          <w:b/>
          <w:bCs/>
        </w:rPr>
      </w:pPr>
      <w:r>
        <w:rPr>
          <w:rFonts w:hint="eastAsia" w:ascii="仿宋_GB2312" w:eastAsia="仿宋_GB2312"/>
          <w:b/>
          <w:bCs/>
          <w:sz w:val="32"/>
          <w:szCs w:val="32"/>
          <w:lang w:val="en-US" w:eastAsia="zh-CN"/>
        </w:rPr>
        <w:t xml:space="preserve">         设备主要功能、用途、标准及配置要求</w:t>
      </w:r>
    </w:p>
    <w:p w14:paraId="2B8B317D">
      <w:pPr>
        <w:widowControl/>
        <w:jc w:val="left"/>
        <w:rPr>
          <w:rFonts w:hint="eastAsia" w:ascii="宋体" w:hAnsi="宋体" w:cs="宋体"/>
          <w:b/>
          <w:bCs/>
          <w:kern w:val="0"/>
          <w:sz w:val="24"/>
          <w:szCs w:val="24"/>
        </w:rPr>
      </w:pPr>
      <w:r>
        <w:rPr>
          <w:rFonts w:hint="eastAsia" w:ascii="宋体" w:hAnsi="宋体" w:cs="宋体"/>
          <w:b/>
          <w:bCs/>
          <w:kern w:val="0"/>
          <w:sz w:val="24"/>
          <w:szCs w:val="24"/>
        </w:rPr>
        <w:t>一、自动染色机</w:t>
      </w:r>
    </w:p>
    <w:p w14:paraId="30BEF83C">
      <w:pPr>
        <w:widowControl/>
        <w:jc w:val="left"/>
        <w:rPr>
          <w:rFonts w:hint="eastAsia" w:ascii="宋体" w:hAnsi="宋体" w:cs="宋体"/>
          <w:kern w:val="0"/>
          <w:sz w:val="24"/>
          <w:szCs w:val="24"/>
        </w:rPr>
      </w:pPr>
      <w:r>
        <w:rPr>
          <w:rFonts w:hint="eastAsia" w:ascii="宋体" w:hAnsi="宋体" w:cs="宋体"/>
          <w:kern w:val="0"/>
          <w:sz w:val="24"/>
          <w:szCs w:val="24"/>
        </w:rPr>
        <w:t>1.染色模式：支持革兰氏染色、抗酸染色（萋尼氏法或冷染法）及抗酸染色（荧光法），染色模式可一键切换；具备防堵塞设计或自动维护功能，降低日常维护频率。</w:t>
      </w:r>
    </w:p>
    <w:p w14:paraId="26CFC6CC">
      <w:pPr>
        <w:widowControl/>
        <w:jc w:val="left"/>
        <w:rPr>
          <w:rFonts w:hint="eastAsia" w:ascii="宋体" w:hAnsi="宋体" w:cs="宋体"/>
          <w:kern w:val="0"/>
          <w:sz w:val="24"/>
          <w:szCs w:val="24"/>
        </w:rPr>
      </w:pPr>
      <w:r>
        <w:rPr>
          <w:rFonts w:hint="eastAsia" w:ascii="宋体" w:hAnsi="宋体" w:cs="宋体"/>
          <w:kern w:val="0"/>
          <w:sz w:val="24"/>
          <w:szCs w:val="24"/>
        </w:rPr>
        <w:t>2.染片量：一次性染片量≥48片，支持1-48片任意数量进样，无需固定批次数量。</w:t>
      </w:r>
    </w:p>
    <w:p w14:paraId="6327F250">
      <w:pPr>
        <w:widowControl/>
        <w:jc w:val="left"/>
        <w:rPr>
          <w:rFonts w:hint="eastAsia" w:ascii="宋体" w:hAnsi="宋体" w:cs="宋体"/>
          <w:kern w:val="0"/>
          <w:sz w:val="24"/>
          <w:szCs w:val="24"/>
        </w:rPr>
      </w:pPr>
      <w:r>
        <w:rPr>
          <w:rFonts w:hint="eastAsia" w:ascii="宋体" w:hAnsi="宋体" w:cs="宋体"/>
          <w:kern w:val="0"/>
          <w:sz w:val="24"/>
          <w:szCs w:val="24"/>
        </w:rPr>
        <w:t>3.操作系统：配备液晶彩色触控显示屏，中文操作界面；支持一键启动全自动染色程序，实时显示染色进度。</w:t>
      </w:r>
    </w:p>
    <w:p w14:paraId="4EB7E270">
      <w:pPr>
        <w:widowControl/>
        <w:jc w:val="left"/>
        <w:rPr>
          <w:rFonts w:hint="eastAsia" w:ascii="宋体" w:hAnsi="宋体" w:cs="宋体"/>
          <w:kern w:val="0"/>
          <w:sz w:val="24"/>
          <w:szCs w:val="24"/>
        </w:rPr>
      </w:pPr>
      <w:r>
        <w:rPr>
          <w:rFonts w:hint="eastAsia" w:ascii="宋体" w:hAnsi="宋体" w:cs="宋体"/>
          <w:kern w:val="0"/>
          <w:sz w:val="24"/>
          <w:szCs w:val="24"/>
        </w:rPr>
        <w:t>4.染色速度：革兰氏染色≥140片/小时，抗酸染色（萋尼氏法）≥180片/小时，抗酸染色（冷染法）≥140片/小时，抗酸染色（荧光法）≥140片/小时。</w:t>
      </w:r>
    </w:p>
    <w:p w14:paraId="23C594EF">
      <w:pPr>
        <w:widowControl/>
        <w:jc w:val="left"/>
        <w:rPr>
          <w:rFonts w:hint="eastAsia" w:ascii="宋体" w:hAnsi="宋体" w:cs="宋体"/>
          <w:kern w:val="0"/>
          <w:sz w:val="24"/>
          <w:szCs w:val="24"/>
        </w:rPr>
      </w:pPr>
      <w:r>
        <w:rPr>
          <w:rFonts w:hint="eastAsia" w:ascii="宋体" w:hAnsi="宋体" w:cs="宋体"/>
          <w:kern w:val="0"/>
          <w:sz w:val="24"/>
          <w:szCs w:val="24"/>
        </w:rPr>
        <w:t>5.监测报警：具备液量监测系统（染液、水量不足及废液过量实时报警）；具备故障自诊断与报警提示功能。</w:t>
      </w:r>
    </w:p>
    <w:p w14:paraId="01B0FA35">
      <w:pPr>
        <w:widowControl/>
        <w:jc w:val="left"/>
        <w:rPr>
          <w:rFonts w:hint="eastAsia" w:ascii="宋体" w:hAnsi="宋体" w:cs="宋体"/>
          <w:kern w:val="0"/>
          <w:sz w:val="24"/>
          <w:szCs w:val="24"/>
        </w:rPr>
      </w:pPr>
      <w:r>
        <w:rPr>
          <w:rFonts w:hint="eastAsia" w:ascii="宋体" w:hAnsi="宋体" w:cs="宋体"/>
          <w:kern w:val="0"/>
          <w:sz w:val="24"/>
          <w:szCs w:val="24"/>
        </w:rPr>
        <w:t>6.染色舱：具备防脱片设计，确保染色过程中玻片稳固；玻片架可拆卸，便于在生物安全柜或水槽旁装载标本；具备独立试剂输送管路，避免交叉污染；具备自动干燥功能，染色完成后玻片可直接镜检。</w:t>
      </w:r>
    </w:p>
    <w:p w14:paraId="1208EBEB">
      <w:pPr>
        <w:widowControl/>
        <w:jc w:val="left"/>
        <w:rPr>
          <w:rFonts w:hint="eastAsia" w:ascii="宋体" w:hAnsi="宋体" w:cs="宋体"/>
          <w:kern w:val="0"/>
          <w:sz w:val="24"/>
          <w:szCs w:val="24"/>
        </w:rPr>
      </w:pPr>
      <w:r>
        <w:rPr>
          <w:rFonts w:hint="eastAsia" w:ascii="宋体" w:hAnsi="宋体" w:cs="宋体"/>
          <w:kern w:val="0"/>
          <w:sz w:val="24"/>
          <w:szCs w:val="24"/>
        </w:rPr>
        <w:t>7.水平调节：设备具备水平调节装置或水平指示功能，确保设备运行平稳。</w:t>
      </w:r>
    </w:p>
    <w:p w14:paraId="4952FDB8">
      <w:pPr>
        <w:widowControl/>
        <w:jc w:val="left"/>
        <w:rPr>
          <w:rFonts w:hint="eastAsia" w:ascii="宋体" w:hAnsi="宋体" w:cs="宋体"/>
          <w:kern w:val="0"/>
          <w:sz w:val="24"/>
          <w:szCs w:val="24"/>
        </w:rPr>
      </w:pPr>
      <w:r>
        <w:rPr>
          <w:rFonts w:hint="eastAsia" w:ascii="宋体" w:hAnsi="宋体" w:cs="宋体"/>
          <w:kern w:val="0"/>
          <w:sz w:val="24"/>
          <w:szCs w:val="24"/>
        </w:rPr>
        <w:t>8.配套玻片：兼容符合国家标准的通用载玻片</w:t>
      </w:r>
    </w:p>
    <w:p w14:paraId="53899AA3">
      <w:pPr>
        <w:widowControl/>
        <w:jc w:val="left"/>
        <w:rPr>
          <w:rFonts w:hint="eastAsia" w:ascii="宋体" w:hAnsi="宋体" w:cs="宋体"/>
          <w:kern w:val="0"/>
          <w:sz w:val="24"/>
          <w:szCs w:val="24"/>
        </w:rPr>
      </w:pPr>
      <w:r>
        <w:rPr>
          <w:rFonts w:hint="eastAsia" w:ascii="宋体" w:hAnsi="宋体" w:cs="宋体"/>
          <w:kern w:val="0"/>
          <w:sz w:val="24"/>
          <w:szCs w:val="24"/>
        </w:rPr>
        <w:t>9.染色试剂：支持环保型染色试剂，结核抗酸染色液支持无苯酚复红配方，结核荧光染色支持无苯酚荧光金胺O法。</w:t>
      </w:r>
    </w:p>
    <w:p w14:paraId="3032F61E">
      <w:pPr>
        <w:widowControl/>
        <w:jc w:val="left"/>
        <w:rPr>
          <w:rFonts w:hint="eastAsia" w:ascii="宋体" w:hAnsi="宋体" w:cs="宋体"/>
          <w:kern w:val="0"/>
          <w:sz w:val="24"/>
          <w:szCs w:val="24"/>
        </w:rPr>
      </w:pPr>
      <w:r>
        <w:rPr>
          <w:rFonts w:hint="eastAsia" w:ascii="宋体" w:hAnsi="宋体" w:cs="宋体"/>
          <w:kern w:val="0"/>
          <w:sz w:val="24"/>
          <w:szCs w:val="24"/>
        </w:rPr>
        <w:t>10.系统兼容：设备具备标准化数据接口或物理接口，可兼容实验室现有的或未来采购的前处理设备（如玻片处理仪、自动加样仪等）。</w:t>
      </w:r>
    </w:p>
    <w:p w14:paraId="3345357B">
      <w:pPr>
        <w:widowControl/>
        <w:jc w:val="left"/>
        <w:rPr>
          <w:rFonts w:hint="eastAsia" w:ascii="宋体" w:hAnsi="宋体" w:cs="宋体"/>
          <w:kern w:val="0"/>
          <w:sz w:val="24"/>
          <w:szCs w:val="24"/>
        </w:rPr>
      </w:pPr>
      <w:r>
        <w:rPr>
          <w:rFonts w:hint="eastAsia" w:ascii="宋体" w:hAnsi="宋体" w:cs="宋体"/>
          <w:kern w:val="0"/>
          <w:sz w:val="24"/>
          <w:szCs w:val="24"/>
        </w:rPr>
        <w:t>11.需要提供设备生产厂商针对本项目盖章确认的授权书及售后服务承诺书原件。</w:t>
      </w:r>
    </w:p>
    <w:p w14:paraId="3D20CA06">
      <w:pPr>
        <w:widowControl/>
        <w:jc w:val="left"/>
        <w:rPr>
          <w:rFonts w:ascii="宋体" w:hAnsi="宋体" w:cs="宋体"/>
          <w:b w:val="0"/>
          <w:bCs w:val="0"/>
          <w:kern w:val="0"/>
          <w:sz w:val="24"/>
          <w:szCs w:val="24"/>
        </w:rPr>
      </w:pPr>
      <w:r>
        <w:rPr>
          <w:rFonts w:hint="eastAsia" w:ascii="宋体" w:hAnsi="宋体" w:cs="宋体"/>
          <w:b w:val="0"/>
          <w:bCs w:val="0"/>
          <w:kern w:val="0"/>
          <w:sz w:val="24"/>
          <w:szCs w:val="24"/>
        </w:rPr>
        <w:t>12.设备配置要求：</w:t>
      </w:r>
    </w:p>
    <w:tbl>
      <w:tblPr>
        <w:tblStyle w:val="3"/>
        <w:tblW w:w="9752" w:type="dxa"/>
        <w:tblInd w:w="100" w:type="dxa"/>
        <w:tblLayout w:type="fixed"/>
        <w:tblCellMar>
          <w:top w:w="0" w:type="dxa"/>
          <w:left w:w="108" w:type="dxa"/>
          <w:bottom w:w="0" w:type="dxa"/>
          <w:right w:w="108" w:type="dxa"/>
        </w:tblCellMar>
      </w:tblPr>
      <w:tblGrid>
        <w:gridCol w:w="802"/>
        <w:gridCol w:w="2439"/>
        <w:gridCol w:w="1200"/>
        <w:gridCol w:w="883"/>
        <w:gridCol w:w="4428"/>
      </w:tblGrid>
      <w:tr w14:paraId="23E09FA1">
        <w:tblPrEx>
          <w:tblCellMar>
            <w:top w:w="0" w:type="dxa"/>
            <w:left w:w="108" w:type="dxa"/>
            <w:bottom w:w="0" w:type="dxa"/>
            <w:right w:w="108" w:type="dxa"/>
          </w:tblCellMar>
        </w:tblPrEx>
        <w:trPr>
          <w:trHeight w:val="278" w:hRule="atLeast"/>
        </w:trPr>
        <w:tc>
          <w:tcPr>
            <w:tcW w:w="802" w:type="dxa"/>
            <w:tcBorders>
              <w:top w:val="single" w:color="auto" w:sz="4" w:space="0"/>
              <w:left w:val="single" w:color="auto" w:sz="4" w:space="0"/>
              <w:bottom w:val="single" w:color="auto" w:sz="4" w:space="0"/>
              <w:right w:val="single" w:color="auto" w:sz="4" w:space="0"/>
            </w:tcBorders>
            <w:noWrap w:val="0"/>
            <w:vAlign w:val="top"/>
          </w:tcPr>
          <w:p w14:paraId="641D5555">
            <w:pPr>
              <w:widowControl/>
              <w:jc w:val="left"/>
              <w:textAlignment w:val="top"/>
              <w:rPr>
                <w:rFonts w:hint="eastAsia" w:ascii="宋体" w:hAnsi="宋体" w:cs="宋体"/>
                <w:b/>
                <w:bCs/>
                <w:color w:val="000000"/>
              </w:rPr>
            </w:pPr>
            <w:r>
              <w:rPr>
                <w:rFonts w:hint="eastAsia" w:ascii="宋体" w:hAnsi="宋体" w:cs="宋体"/>
                <w:b/>
                <w:bCs/>
                <w:color w:val="000000"/>
              </w:rPr>
              <w:t>序号</w:t>
            </w:r>
          </w:p>
        </w:tc>
        <w:tc>
          <w:tcPr>
            <w:tcW w:w="2439" w:type="dxa"/>
            <w:tcBorders>
              <w:top w:val="single" w:color="auto" w:sz="4" w:space="0"/>
              <w:left w:val="single" w:color="auto" w:sz="4" w:space="0"/>
              <w:bottom w:val="single" w:color="auto" w:sz="4" w:space="0"/>
              <w:right w:val="single" w:color="auto" w:sz="4" w:space="0"/>
            </w:tcBorders>
            <w:noWrap w:val="0"/>
            <w:vAlign w:val="top"/>
          </w:tcPr>
          <w:p w14:paraId="5E7CBD3F">
            <w:pPr>
              <w:widowControl/>
              <w:jc w:val="left"/>
              <w:textAlignment w:val="top"/>
              <w:rPr>
                <w:rFonts w:hint="eastAsia" w:ascii="宋体" w:hAnsi="宋体" w:cs="宋体"/>
                <w:b/>
                <w:bCs/>
                <w:color w:val="000000"/>
              </w:rPr>
            </w:pPr>
            <w:r>
              <w:rPr>
                <w:rFonts w:hint="eastAsia" w:ascii="宋体" w:hAnsi="宋体" w:cs="宋体"/>
                <w:b/>
                <w:bCs/>
                <w:color w:val="000000"/>
                <w:kern w:val="0"/>
                <w:lang w:bidi="ar"/>
              </w:rPr>
              <w:t>名称</w:t>
            </w:r>
          </w:p>
        </w:tc>
        <w:tc>
          <w:tcPr>
            <w:tcW w:w="1200" w:type="dxa"/>
            <w:tcBorders>
              <w:top w:val="single" w:color="auto" w:sz="4" w:space="0"/>
              <w:left w:val="single" w:color="auto" w:sz="4" w:space="0"/>
              <w:bottom w:val="single" w:color="auto" w:sz="4" w:space="0"/>
              <w:right w:val="single" w:color="auto" w:sz="4" w:space="0"/>
            </w:tcBorders>
            <w:noWrap w:val="0"/>
            <w:vAlign w:val="top"/>
          </w:tcPr>
          <w:p w14:paraId="1FFBD94B">
            <w:pPr>
              <w:widowControl/>
              <w:jc w:val="left"/>
              <w:textAlignment w:val="top"/>
              <w:rPr>
                <w:rFonts w:hint="eastAsia" w:ascii="宋体" w:hAnsi="宋体" w:cs="宋体"/>
                <w:b/>
                <w:bCs/>
                <w:color w:val="000000"/>
              </w:rPr>
            </w:pPr>
            <w:r>
              <w:rPr>
                <w:rFonts w:hint="eastAsia" w:ascii="宋体" w:hAnsi="宋体" w:cs="宋体"/>
                <w:b/>
                <w:bCs/>
                <w:color w:val="000000"/>
                <w:kern w:val="0"/>
                <w:lang w:bidi="ar"/>
              </w:rPr>
              <w:t>数量</w:t>
            </w:r>
          </w:p>
        </w:tc>
        <w:tc>
          <w:tcPr>
            <w:tcW w:w="883" w:type="dxa"/>
            <w:tcBorders>
              <w:top w:val="single" w:color="auto" w:sz="4" w:space="0"/>
              <w:left w:val="single" w:color="auto" w:sz="4" w:space="0"/>
              <w:bottom w:val="single" w:color="auto" w:sz="4" w:space="0"/>
              <w:right w:val="single" w:color="auto" w:sz="4" w:space="0"/>
            </w:tcBorders>
            <w:noWrap w:val="0"/>
            <w:vAlign w:val="top"/>
          </w:tcPr>
          <w:p w14:paraId="22BEB83F">
            <w:pPr>
              <w:widowControl/>
              <w:jc w:val="left"/>
              <w:textAlignment w:val="top"/>
              <w:rPr>
                <w:rFonts w:ascii="宋体" w:hAnsi="宋体" w:cs="宋体"/>
                <w:b/>
                <w:bCs/>
                <w:color w:val="000000"/>
                <w:kern w:val="0"/>
                <w:lang w:bidi="ar"/>
              </w:rPr>
            </w:pPr>
            <w:r>
              <w:rPr>
                <w:rFonts w:hint="eastAsia" w:ascii="宋体" w:hAnsi="宋体" w:cs="宋体"/>
                <w:b/>
                <w:bCs/>
                <w:color w:val="000000"/>
                <w:kern w:val="0"/>
                <w:lang w:bidi="ar"/>
              </w:rPr>
              <w:t>单位</w:t>
            </w:r>
          </w:p>
        </w:tc>
        <w:tc>
          <w:tcPr>
            <w:tcW w:w="4428" w:type="dxa"/>
            <w:tcBorders>
              <w:top w:val="single" w:color="auto" w:sz="4" w:space="0"/>
              <w:left w:val="single" w:color="auto" w:sz="4" w:space="0"/>
              <w:bottom w:val="single" w:color="auto" w:sz="4" w:space="0"/>
              <w:right w:val="single" w:color="auto" w:sz="4" w:space="0"/>
            </w:tcBorders>
            <w:noWrap w:val="0"/>
            <w:vAlign w:val="top"/>
          </w:tcPr>
          <w:p w14:paraId="772E5711">
            <w:pPr>
              <w:widowControl/>
              <w:jc w:val="left"/>
              <w:textAlignment w:val="top"/>
              <w:rPr>
                <w:rFonts w:hint="eastAsia" w:ascii="宋体" w:hAnsi="宋体" w:cs="宋体"/>
                <w:b/>
                <w:bCs/>
                <w:color w:val="000000"/>
              </w:rPr>
            </w:pPr>
            <w:r>
              <w:rPr>
                <w:rFonts w:hint="eastAsia" w:ascii="宋体" w:hAnsi="宋体" w:cs="宋体"/>
                <w:b/>
                <w:bCs/>
                <w:color w:val="000000"/>
                <w:kern w:val="0"/>
                <w:lang w:bidi="ar"/>
              </w:rPr>
              <w:t>备注</w:t>
            </w:r>
          </w:p>
        </w:tc>
      </w:tr>
      <w:tr w14:paraId="1AEA9C8A">
        <w:tblPrEx>
          <w:tblCellMar>
            <w:top w:w="0" w:type="dxa"/>
            <w:left w:w="108" w:type="dxa"/>
            <w:bottom w:w="0" w:type="dxa"/>
            <w:right w:w="108" w:type="dxa"/>
          </w:tblCellMar>
        </w:tblPrEx>
        <w:trPr>
          <w:trHeight w:val="270" w:hRule="atLeast"/>
        </w:trPr>
        <w:tc>
          <w:tcPr>
            <w:tcW w:w="802" w:type="dxa"/>
            <w:tcBorders>
              <w:top w:val="single" w:color="auto" w:sz="4" w:space="0"/>
              <w:left w:val="single" w:color="auto" w:sz="4" w:space="0"/>
              <w:bottom w:val="single" w:color="auto" w:sz="4" w:space="0"/>
              <w:right w:val="single" w:color="auto" w:sz="4" w:space="0"/>
            </w:tcBorders>
            <w:noWrap/>
            <w:vAlign w:val="center"/>
          </w:tcPr>
          <w:p w14:paraId="64836EAC">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2439" w:type="dxa"/>
            <w:tcBorders>
              <w:top w:val="single" w:color="auto" w:sz="4" w:space="0"/>
              <w:left w:val="single" w:color="auto" w:sz="4" w:space="0"/>
              <w:bottom w:val="single" w:color="auto" w:sz="4" w:space="0"/>
              <w:right w:val="single" w:color="auto" w:sz="4" w:space="0"/>
            </w:tcBorders>
            <w:noWrap/>
            <w:vAlign w:val="center"/>
          </w:tcPr>
          <w:p w14:paraId="4E30D45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染色机主机</w:t>
            </w:r>
          </w:p>
        </w:tc>
        <w:tc>
          <w:tcPr>
            <w:tcW w:w="1200" w:type="dxa"/>
            <w:tcBorders>
              <w:top w:val="single" w:color="auto" w:sz="4" w:space="0"/>
              <w:left w:val="single" w:color="auto" w:sz="4" w:space="0"/>
              <w:bottom w:val="single" w:color="auto" w:sz="4" w:space="0"/>
              <w:right w:val="single" w:color="auto" w:sz="4" w:space="0"/>
            </w:tcBorders>
            <w:noWrap/>
            <w:vAlign w:val="center"/>
          </w:tcPr>
          <w:p w14:paraId="3E10DE0B">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883" w:type="dxa"/>
            <w:tcBorders>
              <w:top w:val="single" w:color="auto" w:sz="4" w:space="0"/>
              <w:left w:val="single" w:color="auto" w:sz="4" w:space="0"/>
              <w:bottom w:val="single" w:color="auto" w:sz="4" w:space="0"/>
              <w:right w:val="single" w:color="auto" w:sz="4" w:space="0"/>
            </w:tcBorders>
            <w:noWrap/>
            <w:vAlign w:val="center"/>
          </w:tcPr>
          <w:p w14:paraId="4686625E">
            <w:pPr>
              <w:jc w:val="left"/>
              <w:rPr>
                <w:rFonts w:hint="eastAsia" w:ascii="宋体" w:hAnsi="宋体" w:cs="宋体"/>
                <w:color w:val="000000"/>
                <w:sz w:val="22"/>
                <w:szCs w:val="22"/>
              </w:rPr>
            </w:pPr>
            <w:r>
              <w:rPr>
                <w:rFonts w:hint="eastAsia" w:ascii="宋体" w:hAnsi="宋体" w:cs="宋体"/>
                <w:color w:val="000000"/>
                <w:sz w:val="22"/>
                <w:szCs w:val="22"/>
              </w:rPr>
              <w:t>台</w:t>
            </w:r>
          </w:p>
        </w:tc>
        <w:tc>
          <w:tcPr>
            <w:tcW w:w="4428" w:type="dxa"/>
            <w:tcBorders>
              <w:top w:val="single" w:color="auto" w:sz="4" w:space="0"/>
              <w:left w:val="single" w:color="auto" w:sz="4" w:space="0"/>
              <w:bottom w:val="single" w:color="auto" w:sz="4" w:space="0"/>
              <w:right w:val="single" w:color="auto" w:sz="4" w:space="0"/>
            </w:tcBorders>
            <w:noWrap/>
            <w:vAlign w:val="center"/>
          </w:tcPr>
          <w:p w14:paraId="07153608">
            <w:pPr>
              <w:jc w:val="left"/>
              <w:rPr>
                <w:rFonts w:hint="eastAsia" w:ascii="宋体" w:hAnsi="宋体" w:cs="宋体"/>
                <w:color w:val="000000"/>
                <w:sz w:val="22"/>
                <w:szCs w:val="22"/>
              </w:rPr>
            </w:pPr>
          </w:p>
        </w:tc>
      </w:tr>
      <w:tr w14:paraId="20EF4993">
        <w:tblPrEx>
          <w:tblCellMar>
            <w:top w:w="0" w:type="dxa"/>
            <w:left w:w="108" w:type="dxa"/>
            <w:bottom w:w="0" w:type="dxa"/>
            <w:right w:w="108" w:type="dxa"/>
          </w:tblCellMar>
        </w:tblPrEx>
        <w:trPr>
          <w:trHeight w:val="270" w:hRule="atLeast"/>
        </w:trPr>
        <w:tc>
          <w:tcPr>
            <w:tcW w:w="802" w:type="dxa"/>
            <w:tcBorders>
              <w:top w:val="single" w:color="auto" w:sz="4" w:space="0"/>
              <w:left w:val="single" w:color="auto" w:sz="4" w:space="0"/>
              <w:bottom w:val="single" w:color="auto" w:sz="4" w:space="0"/>
              <w:right w:val="single" w:color="auto" w:sz="4" w:space="0"/>
            </w:tcBorders>
            <w:noWrap/>
            <w:vAlign w:val="center"/>
          </w:tcPr>
          <w:p w14:paraId="67F84B3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2439" w:type="dxa"/>
            <w:tcBorders>
              <w:top w:val="single" w:color="auto" w:sz="4" w:space="0"/>
              <w:left w:val="single" w:color="auto" w:sz="4" w:space="0"/>
              <w:bottom w:val="single" w:color="auto" w:sz="4" w:space="0"/>
              <w:right w:val="single" w:color="auto" w:sz="4" w:space="0"/>
            </w:tcBorders>
            <w:noWrap/>
            <w:vAlign w:val="center"/>
          </w:tcPr>
          <w:p w14:paraId="61A6C849">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废液桶（20L）</w:t>
            </w:r>
          </w:p>
        </w:tc>
        <w:tc>
          <w:tcPr>
            <w:tcW w:w="1200" w:type="dxa"/>
            <w:tcBorders>
              <w:top w:val="single" w:color="auto" w:sz="4" w:space="0"/>
              <w:left w:val="single" w:color="auto" w:sz="4" w:space="0"/>
              <w:bottom w:val="single" w:color="auto" w:sz="4" w:space="0"/>
              <w:right w:val="single" w:color="auto" w:sz="4" w:space="0"/>
            </w:tcBorders>
            <w:noWrap/>
            <w:vAlign w:val="center"/>
          </w:tcPr>
          <w:p w14:paraId="6925CCAF">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883" w:type="dxa"/>
            <w:tcBorders>
              <w:top w:val="single" w:color="auto" w:sz="4" w:space="0"/>
              <w:left w:val="single" w:color="auto" w:sz="4" w:space="0"/>
              <w:bottom w:val="single" w:color="auto" w:sz="4" w:space="0"/>
              <w:right w:val="single" w:color="auto" w:sz="4" w:space="0"/>
            </w:tcBorders>
            <w:noWrap/>
            <w:vAlign w:val="center"/>
          </w:tcPr>
          <w:p w14:paraId="703E7917">
            <w:pPr>
              <w:widowControl/>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4428" w:type="dxa"/>
            <w:tcBorders>
              <w:top w:val="single" w:color="auto" w:sz="4" w:space="0"/>
              <w:left w:val="single" w:color="auto" w:sz="4" w:space="0"/>
              <w:bottom w:val="single" w:color="auto" w:sz="4" w:space="0"/>
              <w:right w:val="single" w:color="auto" w:sz="4" w:space="0"/>
            </w:tcBorders>
            <w:noWrap/>
            <w:vAlign w:val="center"/>
          </w:tcPr>
          <w:p w14:paraId="44B27DE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带液位开关</w:t>
            </w:r>
          </w:p>
        </w:tc>
      </w:tr>
      <w:tr w14:paraId="2B668E94">
        <w:tblPrEx>
          <w:tblCellMar>
            <w:top w:w="0" w:type="dxa"/>
            <w:left w:w="108" w:type="dxa"/>
            <w:bottom w:w="0" w:type="dxa"/>
            <w:right w:w="108" w:type="dxa"/>
          </w:tblCellMar>
        </w:tblPrEx>
        <w:trPr>
          <w:trHeight w:val="270" w:hRule="atLeast"/>
        </w:trPr>
        <w:tc>
          <w:tcPr>
            <w:tcW w:w="802" w:type="dxa"/>
            <w:tcBorders>
              <w:top w:val="single" w:color="auto" w:sz="4" w:space="0"/>
              <w:left w:val="single" w:color="auto" w:sz="4" w:space="0"/>
              <w:bottom w:val="single" w:color="auto" w:sz="4" w:space="0"/>
              <w:right w:val="single" w:color="auto" w:sz="4" w:space="0"/>
            </w:tcBorders>
            <w:noWrap/>
            <w:vAlign w:val="center"/>
          </w:tcPr>
          <w:p w14:paraId="5D33365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2439" w:type="dxa"/>
            <w:tcBorders>
              <w:top w:val="single" w:color="auto" w:sz="4" w:space="0"/>
              <w:left w:val="single" w:color="auto" w:sz="4" w:space="0"/>
              <w:bottom w:val="single" w:color="auto" w:sz="4" w:space="0"/>
              <w:right w:val="single" w:color="auto" w:sz="4" w:space="0"/>
            </w:tcBorders>
            <w:noWrap/>
            <w:vAlign w:val="center"/>
          </w:tcPr>
          <w:p w14:paraId="699A04A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清水瓶（10L）</w:t>
            </w:r>
          </w:p>
        </w:tc>
        <w:tc>
          <w:tcPr>
            <w:tcW w:w="1200" w:type="dxa"/>
            <w:tcBorders>
              <w:top w:val="single" w:color="auto" w:sz="4" w:space="0"/>
              <w:left w:val="single" w:color="auto" w:sz="4" w:space="0"/>
              <w:bottom w:val="single" w:color="auto" w:sz="4" w:space="0"/>
              <w:right w:val="single" w:color="auto" w:sz="4" w:space="0"/>
            </w:tcBorders>
            <w:noWrap/>
            <w:vAlign w:val="center"/>
          </w:tcPr>
          <w:p w14:paraId="50D96339">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883" w:type="dxa"/>
            <w:tcBorders>
              <w:top w:val="single" w:color="auto" w:sz="4" w:space="0"/>
              <w:left w:val="single" w:color="auto" w:sz="4" w:space="0"/>
              <w:bottom w:val="single" w:color="auto" w:sz="4" w:space="0"/>
              <w:right w:val="single" w:color="auto" w:sz="4" w:space="0"/>
            </w:tcBorders>
            <w:noWrap/>
            <w:vAlign w:val="center"/>
          </w:tcPr>
          <w:p w14:paraId="5187BE67">
            <w:pPr>
              <w:widowControl/>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4428" w:type="dxa"/>
            <w:tcBorders>
              <w:top w:val="single" w:color="auto" w:sz="4" w:space="0"/>
              <w:left w:val="single" w:color="auto" w:sz="4" w:space="0"/>
              <w:bottom w:val="single" w:color="auto" w:sz="4" w:space="0"/>
              <w:right w:val="single" w:color="auto" w:sz="4" w:space="0"/>
            </w:tcBorders>
            <w:noWrap/>
            <w:vAlign w:val="center"/>
          </w:tcPr>
          <w:p w14:paraId="35FEF688">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带水位开关</w:t>
            </w:r>
          </w:p>
        </w:tc>
      </w:tr>
      <w:tr w14:paraId="2B1367B8">
        <w:tblPrEx>
          <w:tblCellMar>
            <w:top w:w="0" w:type="dxa"/>
            <w:left w:w="108" w:type="dxa"/>
            <w:bottom w:w="0" w:type="dxa"/>
            <w:right w:w="108" w:type="dxa"/>
          </w:tblCellMar>
        </w:tblPrEx>
        <w:trPr>
          <w:trHeight w:val="270" w:hRule="atLeast"/>
        </w:trPr>
        <w:tc>
          <w:tcPr>
            <w:tcW w:w="802" w:type="dxa"/>
            <w:tcBorders>
              <w:top w:val="single" w:color="auto" w:sz="4" w:space="0"/>
              <w:left w:val="single" w:color="auto" w:sz="4" w:space="0"/>
              <w:bottom w:val="single" w:color="auto" w:sz="4" w:space="0"/>
              <w:right w:val="single" w:color="auto" w:sz="4" w:space="0"/>
            </w:tcBorders>
            <w:noWrap/>
            <w:vAlign w:val="center"/>
          </w:tcPr>
          <w:p w14:paraId="0612203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2439" w:type="dxa"/>
            <w:tcBorders>
              <w:top w:val="single" w:color="auto" w:sz="4" w:space="0"/>
              <w:left w:val="single" w:color="auto" w:sz="4" w:space="0"/>
              <w:bottom w:val="single" w:color="auto" w:sz="4" w:space="0"/>
              <w:right w:val="single" w:color="auto" w:sz="4" w:space="0"/>
            </w:tcBorders>
            <w:noWrap/>
            <w:vAlign w:val="center"/>
          </w:tcPr>
          <w:p w14:paraId="2173051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清洗瓶（10L）</w:t>
            </w:r>
          </w:p>
        </w:tc>
        <w:tc>
          <w:tcPr>
            <w:tcW w:w="1200" w:type="dxa"/>
            <w:tcBorders>
              <w:top w:val="single" w:color="auto" w:sz="4" w:space="0"/>
              <w:left w:val="single" w:color="auto" w:sz="4" w:space="0"/>
              <w:bottom w:val="single" w:color="auto" w:sz="4" w:space="0"/>
              <w:right w:val="single" w:color="auto" w:sz="4" w:space="0"/>
            </w:tcBorders>
            <w:noWrap/>
            <w:vAlign w:val="center"/>
          </w:tcPr>
          <w:p w14:paraId="3DC5DCB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883" w:type="dxa"/>
            <w:tcBorders>
              <w:top w:val="single" w:color="auto" w:sz="4" w:space="0"/>
              <w:left w:val="single" w:color="auto" w:sz="4" w:space="0"/>
              <w:bottom w:val="single" w:color="auto" w:sz="4" w:space="0"/>
              <w:right w:val="single" w:color="auto" w:sz="4" w:space="0"/>
            </w:tcBorders>
            <w:noWrap/>
            <w:vAlign w:val="center"/>
          </w:tcPr>
          <w:p w14:paraId="3F149AF4">
            <w:pPr>
              <w:widowControl/>
              <w:jc w:val="left"/>
              <w:textAlignment w:val="center"/>
              <w:rPr>
                <w:rFonts w:ascii="宋体" w:hAnsi="宋体" w:cs="宋体"/>
                <w:color w:val="000000"/>
                <w:kern w:val="0"/>
                <w:sz w:val="22"/>
                <w:szCs w:val="22"/>
                <w:lang w:bidi="ar"/>
              </w:rPr>
            </w:pPr>
            <w:r>
              <w:rPr>
                <w:rFonts w:hint="eastAsia" w:ascii="宋体" w:hAnsi="宋体" w:cs="宋体"/>
                <w:color w:val="000000"/>
                <w:kern w:val="0"/>
                <w:sz w:val="22"/>
                <w:szCs w:val="22"/>
                <w:lang w:bidi="ar"/>
              </w:rPr>
              <w:t>个</w:t>
            </w:r>
          </w:p>
        </w:tc>
        <w:tc>
          <w:tcPr>
            <w:tcW w:w="4428" w:type="dxa"/>
            <w:tcBorders>
              <w:top w:val="single" w:color="auto" w:sz="4" w:space="0"/>
              <w:left w:val="single" w:color="auto" w:sz="4" w:space="0"/>
              <w:bottom w:val="single" w:color="auto" w:sz="4" w:space="0"/>
              <w:right w:val="single" w:color="auto" w:sz="4" w:space="0"/>
            </w:tcBorders>
            <w:noWrap/>
            <w:vAlign w:val="center"/>
          </w:tcPr>
          <w:p w14:paraId="5645D07B">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带水位开关</w:t>
            </w:r>
          </w:p>
        </w:tc>
      </w:tr>
      <w:tr w14:paraId="16F5163B">
        <w:tblPrEx>
          <w:tblCellMar>
            <w:top w:w="0" w:type="dxa"/>
            <w:left w:w="108" w:type="dxa"/>
            <w:bottom w:w="0" w:type="dxa"/>
            <w:right w:w="108" w:type="dxa"/>
          </w:tblCellMar>
        </w:tblPrEx>
        <w:trPr>
          <w:trHeight w:val="270" w:hRule="atLeast"/>
        </w:trPr>
        <w:tc>
          <w:tcPr>
            <w:tcW w:w="802" w:type="dxa"/>
            <w:tcBorders>
              <w:top w:val="single" w:color="auto" w:sz="4" w:space="0"/>
              <w:left w:val="single" w:color="auto" w:sz="4" w:space="0"/>
              <w:bottom w:val="single" w:color="auto" w:sz="4" w:space="0"/>
              <w:right w:val="single" w:color="auto" w:sz="4" w:space="0"/>
            </w:tcBorders>
            <w:noWrap/>
            <w:vAlign w:val="center"/>
          </w:tcPr>
          <w:p w14:paraId="110CAF5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5</w:t>
            </w:r>
          </w:p>
        </w:tc>
        <w:tc>
          <w:tcPr>
            <w:tcW w:w="2439" w:type="dxa"/>
            <w:tcBorders>
              <w:top w:val="single" w:color="auto" w:sz="4" w:space="0"/>
              <w:left w:val="single" w:color="auto" w:sz="4" w:space="0"/>
              <w:bottom w:val="single" w:color="auto" w:sz="4" w:space="0"/>
              <w:right w:val="single" w:color="auto" w:sz="4" w:space="0"/>
            </w:tcBorders>
            <w:noWrap/>
            <w:vAlign w:val="center"/>
          </w:tcPr>
          <w:p w14:paraId="335F5C8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试剂瓶座</w:t>
            </w:r>
          </w:p>
        </w:tc>
        <w:tc>
          <w:tcPr>
            <w:tcW w:w="1200" w:type="dxa"/>
            <w:tcBorders>
              <w:top w:val="single" w:color="auto" w:sz="4" w:space="0"/>
              <w:left w:val="single" w:color="auto" w:sz="4" w:space="0"/>
              <w:bottom w:val="single" w:color="auto" w:sz="4" w:space="0"/>
              <w:right w:val="single" w:color="auto" w:sz="4" w:space="0"/>
            </w:tcBorders>
            <w:noWrap/>
            <w:vAlign w:val="center"/>
          </w:tcPr>
          <w:p w14:paraId="5EC372FF">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883" w:type="dxa"/>
            <w:tcBorders>
              <w:top w:val="single" w:color="auto" w:sz="4" w:space="0"/>
              <w:left w:val="single" w:color="auto" w:sz="4" w:space="0"/>
              <w:bottom w:val="single" w:color="auto" w:sz="4" w:space="0"/>
              <w:right w:val="single" w:color="auto" w:sz="4" w:space="0"/>
            </w:tcBorders>
            <w:noWrap/>
            <w:vAlign w:val="center"/>
          </w:tcPr>
          <w:p w14:paraId="3F8487DE">
            <w:pPr>
              <w:jc w:val="left"/>
              <w:rPr>
                <w:rFonts w:hint="eastAsia" w:ascii="宋体" w:hAnsi="宋体" w:cs="宋体"/>
                <w:color w:val="000000"/>
                <w:sz w:val="22"/>
                <w:szCs w:val="22"/>
              </w:rPr>
            </w:pPr>
            <w:r>
              <w:rPr>
                <w:rFonts w:hint="eastAsia" w:ascii="宋体" w:hAnsi="宋体" w:cs="宋体"/>
                <w:color w:val="000000"/>
                <w:sz w:val="22"/>
                <w:szCs w:val="22"/>
              </w:rPr>
              <w:t>个</w:t>
            </w:r>
          </w:p>
        </w:tc>
        <w:tc>
          <w:tcPr>
            <w:tcW w:w="4428" w:type="dxa"/>
            <w:tcBorders>
              <w:top w:val="single" w:color="auto" w:sz="4" w:space="0"/>
              <w:left w:val="single" w:color="auto" w:sz="4" w:space="0"/>
              <w:bottom w:val="single" w:color="auto" w:sz="4" w:space="0"/>
              <w:right w:val="single" w:color="auto" w:sz="4" w:space="0"/>
            </w:tcBorders>
            <w:noWrap/>
            <w:vAlign w:val="center"/>
          </w:tcPr>
          <w:p w14:paraId="0BE3A50C">
            <w:pPr>
              <w:jc w:val="left"/>
              <w:rPr>
                <w:rFonts w:hint="eastAsia" w:ascii="宋体" w:hAnsi="宋体" w:cs="宋体"/>
                <w:color w:val="000000"/>
                <w:sz w:val="22"/>
                <w:szCs w:val="22"/>
              </w:rPr>
            </w:pPr>
          </w:p>
        </w:tc>
      </w:tr>
      <w:tr w14:paraId="3B119D35">
        <w:tblPrEx>
          <w:tblCellMar>
            <w:top w:w="0" w:type="dxa"/>
            <w:left w:w="108" w:type="dxa"/>
            <w:bottom w:w="0" w:type="dxa"/>
            <w:right w:w="108" w:type="dxa"/>
          </w:tblCellMar>
        </w:tblPrEx>
        <w:trPr>
          <w:trHeight w:val="270" w:hRule="atLeast"/>
        </w:trPr>
        <w:tc>
          <w:tcPr>
            <w:tcW w:w="802" w:type="dxa"/>
            <w:tcBorders>
              <w:top w:val="single" w:color="auto" w:sz="4" w:space="0"/>
              <w:left w:val="single" w:color="auto" w:sz="4" w:space="0"/>
              <w:bottom w:val="single" w:color="auto" w:sz="4" w:space="0"/>
              <w:right w:val="single" w:color="auto" w:sz="4" w:space="0"/>
            </w:tcBorders>
            <w:noWrap/>
            <w:vAlign w:val="center"/>
          </w:tcPr>
          <w:p w14:paraId="7CBA2BC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6</w:t>
            </w:r>
          </w:p>
        </w:tc>
        <w:tc>
          <w:tcPr>
            <w:tcW w:w="2439" w:type="dxa"/>
            <w:tcBorders>
              <w:top w:val="single" w:color="auto" w:sz="4" w:space="0"/>
              <w:left w:val="single" w:color="auto" w:sz="4" w:space="0"/>
              <w:bottom w:val="single" w:color="auto" w:sz="4" w:space="0"/>
              <w:right w:val="single" w:color="auto" w:sz="4" w:space="0"/>
            </w:tcBorders>
            <w:noWrap/>
            <w:vAlign w:val="center"/>
          </w:tcPr>
          <w:p w14:paraId="6F04926A">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染色托盘</w:t>
            </w:r>
          </w:p>
        </w:tc>
        <w:tc>
          <w:tcPr>
            <w:tcW w:w="1200" w:type="dxa"/>
            <w:tcBorders>
              <w:top w:val="single" w:color="auto" w:sz="4" w:space="0"/>
              <w:left w:val="single" w:color="auto" w:sz="4" w:space="0"/>
              <w:bottom w:val="single" w:color="auto" w:sz="4" w:space="0"/>
              <w:right w:val="single" w:color="auto" w:sz="4" w:space="0"/>
            </w:tcBorders>
            <w:noWrap/>
            <w:vAlign w:val="center"/>
          </w:tcPr>
          <w:p w14:paraId="4B68FE97">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883" w:type="dxa"/>
            <w:tcBorders>
              <w:top w:val="single" w:color="auto" w:sz="4" w:space="0"/>
              <w:left w:val="single" w:color="auto" w:sz="4" w:space="0"/>
              <w:bottom w:val="single" w:color="auto" w:sz="4" w:space="0"/>
              <w:right w:val="single" w:color="auto" w:sz="4" w:space="0"/>
            </w:tcBorders>
            <w:noWrap/>
            <w:vAlign w:val="center"/>
          </w:tcPr>
          <w:p w14:paraId="205D07CB">
            <w:pPr>
              <w:jc w:val="left"/>
              <w:rPr>
                <w:rFonts w:hint="eastAsia" w:ascii="宋体" w:hAnsi="宋体" w:cs="宋体"/>
                <w:color w:val="000000"/>
                <w:sz w:val="22"/>
                <w:szCs w:val="22"/>
              </w:rPr>
            </w:pPr>
            <w:r>
              <w:rPr>
                <w:rFonts w:hint="eastAsia" w:ascii="宋体" w:hAnsi="宋体" w:cs="宋体"/>
                <w:color w:val="000000"/>
                <w:sz w:val="22"/>
                <w:szCs w:val="22"/>
              </w:rPr>
              <w:t>个</w:t>
            </w:r>
          </w:p>
        </w:tc>
        <w:tc>
          <w:tcPr>
            <w:tcW w:w="4428" w:type="dxa"/>
            <w:tcBorders>
              <w:top w:val="single" w:color="auto" w:sz="4" w:space="0"/>
              <w:left w:val="single" w:color="auto" w:sz="4" w:space="0"/>
              <w:bottom w:val="single" w:color="auto" w:sz="4" w:space="0"/>
              <w:right w:val="single" w:color="auto" w:sz="4" w:space="0"/>
            </w:tcBorders>
            <w:noWrap/>
            <w:vAlign w:val="center"/>
          </w:tcPr>
          <w:p w14:paraId="156A2E61">
            <w:pPr>
              <w:jc w:val="left"/>
              <w:rPr>
                <w:rFonts w:hint="eastAsia" w:ascii="宋体" w:hAnsi="宋体" w:cs="宋体"/>
                <w:color w:val="000000"/>
                <w:sz w:val="22"/>
                <w:szCs w:val="22"/>
              </w:rPr>
            </w:pPr>
          </w:p>
        </w:tc>
      </w:tr>
      <w:tr w14:paraId="75E46A72">
        <w:tblPrEx>
          <w:tblCellMar>
            <w:top w:w="0" w:type="dxa"/>
            <w:left w:w="108" w:type="dxa"/>
            <w:bottom w:w="0" w:type="dxa"/>
            <w:right w:w="108" w:type="dxa"/>
          </w:tblCellMar>
        </w:tblPrEx>
        <w:trPr>
          <w:trHeight w:val="270" w:hRule="atLeast"/>
        </w:trPr>
        <w:tc>
          <w:tcPr>
            <w:tcW w:w="802" w:type="dxa"/>
            <w:tcBorders>
              <w:top w:val="single" w:color="auto" w:sz="4" w:space="0"/>
              <w:left w:val="single" w:color="auto" w:sz="4" w:space="0"/>
              <w:bottom w:val="single" w:color="auto" w:sz="4" w:space="0"/>
              <w:right w:val="single" w:color="auto" w:sz="4" w:space="0"/>
            </w:tcBorders>
            <w:noWrap/>
            <w:vAlign w:val="center"/>
          </w:tcPr>
          <w:p w14:paraId="3ABB810B">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7</w:t>
            </w:r>
          </w:p>
        </w:tc>
        <w:tc>
          <w:tcPr>
            <w:tcW w:w="2439" w:type="dxa"/>
            <w:tcBorders>
              <w:top w:val="single" w:color="auto" w:sz="4" w:space="0"/>
              <w:left w:val="single" w:color="auto" w:sz="4" w:space="0"/>
              <w:bottom w:val="single" w:color="auto" w:sz="4" w:space="0"/>
              <w:right w:val="single" w:color="auto" w:sz="4" w:space="0"/>
            </w:tcBorders>
            <w:noWrap/>
            <w:vAlign w:val="center"/>
          </w:tcPr>
          <w:p w14:paraId="2FB147DC">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试剂瓶盖及连接管</w:t>
            </w:r>
          </w:p>
        </w:tc>
        <w:tc>
          <w:tcPr>
            <w:tcW w:w="1200" w:type="dxa"/>
            <w:tcBorders>
              <w:top w:val="single" w:color="auto" w:sz="4" w:space="0"/>
              <w:left w:val="single" w:color="auto" w:sz="4" w:space="0"/>
              <w:bottom w:val="single" w:color="auto" w:sz="4" w:space="0"/>
              <w:right w:val="single" w:color="auto" w:sz="4" w:space="0"/>
            </w:tcBorders>
            <w:noWrap/>
            <w:vAlign w:val="center"/>
          </w:tcPr>
          <w:p w14:paraId="4AF21436">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w:t>
            </w:r>
          </w:p>
        </w:tc>
        <w:tc>
          <w:tcPr>
            <w:tcW w:w="883" w:type="dxa"/>
            <w:tcBorders>
              <w:top w:val="single" w:color="auto" w:sz="4" w:space="0"/>
              <w:left w:val="single" w:color="auto" w:sz="4" w:space="0"/>
              <w:bottom w:val="single" w:color="auto" w:sz="4" w:space="0"/>
              <w:right w:val="single" w:color="auto" w:sz="4" w:space="0"/>
            </w:tcBorders>
            <w:noWrap/>
            <w:vAlign w:val="center"/>
          </w:tcPr>
          <w:p w14:paraId="0E46A1D6">
            <w:pPr>
              <w:jc w:val="left"/>
              <w:rPr>
                <w:rFonts w:hint="eastAsia" w:ascii="宋体" w:hAnsi="宋体" w:cs="宋体"/>
                <w:color w:val="000000"/>
                <w:sz w:val="22"/>
                <w:szCs w:val="22"/>
              </w:rPr>
            </w:pPr>
            <w:r>
              <w:rPr>
                <w:rFonts w:hint="eastAsia" w:ascii="宋体" w:hAnsi="宋体" w:cs="宋体"/>
                <w:color w:val="000000"/>
                <w:sz w:val="22"/>
                <w:szCs w:val="22"/>
              </w:rPr>
              <w:t>个</w:t>
            </w:r>
          </w:p>
        </w:tc>
        <w:tc>
          <w:tcPr>
            <w:tcW w:w="4428" w:type="dxa"/>
            <w:tcBorders>
              <w:top w:val="single" w:color="auto" w:sz="4" w:space="0"/>
              <w:left w:val="single" w:color="auto" w:sz="4" w:space="0"/>
              <w:bottom w:val="single" w:color="auto" w:sz="4" w:space="0"/>
              <w:right w:val="single" w:color="auto" w:sz="4" w:space="0"/>
            </w:tcBorders>
            <w:noWrap/>
            <w:vAlign w:val="center"/>
          </w:tcPr>
          <w:p w14:paraId="27798610">
            <w:pPr>
              <w:jc w:val="left"/>
              <w:rPr>
                <w:rFonts w:hint="eastAsia" w:ascii="宋体" w:hAnsi="宋体" w:cs="宋体"/>
                <w:color w:val="000000"/>
                <w:sz w:val="22"/>
                <w:szCs w:val="22"/>
              </w:rPr>
            </w:pPr>
          </w:p>
        </w:tc>
      </w:tr>
      <w:tr w14:paraId="5CCAB940">
        <w:tblPrEx>
          <w:tblCellMar>
            <w:top w:w="0" w:type="dxa"/>
            <w:left w:w="108" w:type="dxa"/>
            <w:bottom w:w="0" w:type="dxa"/>
            <w:right w:w="108" w:type="dxa"/>
          </w:tblCellMar>
        </w:tblPrEx>
        <w:trPr>
          <w:trHeight w:val="270" w:hRule="atLeast"/>
        </w:trPr>
        <w:tc>
          <w:tcPr>
            <w:tcW w:w="802" w:type="dxa"/>
            <w:tcBorders>
              <w:top w:val="single" w:color="auto" w:sz="4" w:space="0"/>
              <w:left w:val="single" w:color="auto" w:sz="4" w:space="0"/>
              <w:bottom w:val="single" w:color="auto" w:sz="4" w:space="0"/>
              <w:right w:val="single" w:color="auto" w:sz="4" w:space="0"/>
            </w:tcBorders>
            <w:noWrap/>
            <w:vAlign w:val="center"/>
          </w:tcPr>
          <w:p w14:paraId="7A09C86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8</w:t>
            </w:r>
          </w:p>
        </w:tc>
        <w:tc>
          <w:tcPr>
            <w:tcW w:w="2439" w:type="dxa"/>
            <w:tcBorders>
              <w:top w:val="single" w:color="auto" w:sz="4" w:space="0"/>
              <w:left w:val="single" w:color="auto" w:sz="4" w:space="0"/>
              <w:bottom w:val="single" w:color="auto" w:sz="4" w:space="0"/>
              <w:right w:val="single" w:color="auto" w:sz="4" w:space="0"/>
            </w:tcBorders>
            <w:noWrap/>
            <w:vAlign w:val="center"/>
          </w:tcPr>
          <w:p w14:paraId="4227FAA5">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说明书</w:t>
            </w:r>
          </w:p>
        </w:tc>
        <w:tc>
          <w:tcPr>
            <w:tcW w:w="1200" w:type="dxa"/>
            <w:tcBorders>
              <w:top w:val="single" w:color="auto" w:sz="4" w:space="0"/>
              <w:left w:val="single" w:color="auto" w:sz="4" w:space="0"/>
              <w:bottom w:val="single" w:color="auto" w:sz="4" w:space="0"/>
              <w:right w:val="single" w:color="auto" w:sz="4" w:space="0"/>
            </w:tcBorders>
            <w:noWrap/>
            <w:vAlign w:val="center"/>
          </w:tcPr>
          <w:p w14:paraId="445FBE2B">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883" w:type="dxa"/>
            <w:tcBorders>
              <w:top w:val="single" w:color="auto" w:sz="4" w:space="0"/>
              <w:left w:val="single" w:color="auto" w:sz="4" w:space="0"/>
              <w:bottom w:val="single" w:color="auto" w:sz="4" w:space="0"/>
              <w:right w:val="single" w:color="auto" w:sz="4" w:space="0"/>
            </w:tcBorders>
            <w:noWrap/>
            <w:vAlign w:val="center"/>
          </w:tcPr>
          <w:p w14:paraId="2028E051">
            <w:pPr>
              <w:jc w:val="left"/>
              <w:rPr>
                <w:rFonts w:hint="eastAsia" w:ascii="宋体" w:hAnsi="宋体" w:cs="宋体"/>
                <w:color w:val="000000"/>
                <w:sz w:val="22"/>
                <w:szCs w:val="22"/>
              </w:rPr>
            </w:pPr>
            <w:r>
              <w:rPr>
                <w:rFonts w:hint="eastAsia" w:ascii="宋体" w:hAnsi="宋体" w:cs="宋体"/>
                <w:color w:val="000000"/>
                <w:sz w:val="22"/>
                <w:szCs w:val="22"/>
              </w:rPr>
              <w:t>份</w:t>
            </w:r>
          </w:p>
        </w:tc>
        <w:tc>
          <w:tcPr>
            <w:tcW w:w="4428" w:type="dxa"/>
            <w:tcBorders>
              <w:top w:val="single" w:color="auto" w:sz="4" w:space="0"/>
              <w:left w:val="single" w:color="auto" w:sz="4" w:space="0"/>
              <w:bottom w:val="single" w:color="auto" w:sz="4" w:space="0"/>
              <w:right w:val="single" w:color="auto" w:sz="4" w:space="0"/>
            </w:tcBorders>
            <w:noWrap/>
            <w:vAlign w:val="center"/>
          </w:tcPr>
          <w:p w14:paraId="0B838F14">
            <w:pPr>
              <w:jc w:val="left"/>
              <w:rPr>
                <w:rFonts w:hint="eastAsia" w:ascii="宋体" w:hAnsi="宋体" w:cs="宋体"/>
                <w:color w:val="000000"/>
                <w:sz w:val="22"/>
                <w:szCs w:val="22"/>
              </w:rPr>
            </w:pPr>
          </w:p>
        </w:tc>
      </w:tr>
    </w:tbl>
    <w:p w14:paraId="2251B949">
      <w:pPr>
        <w:widowControl/>
        <w:jc w:val="left"/>
        <w:rPr>
          <w:rFonts w:hint="eastAsia" w:ascii="宋体" w:hAnsi="宋体" w:cs="宋体"/>
          <w:b/>
          <w:bCs/>
          <w:kern w:val="0"/>
          <w:sz w:val="24"/>
          <w:szCs w:val="24"/>
        </w:rPr>
      </w:pPr>
    </w:p>
    <w:p w14:paraId="4A10DBD7">
      <w:pPr>
        <w:widowControl/>
        <w:jc w:val="left"/>
        <w:rPr>
          <w:rFonts w:ascii="宋体" w:hAnsi="宋体" w:cs="宋体"/>
          <w:b/>
          <w:bCs/>
          <w:kern w:val="0"/>
          <w:sz w:val="24"/>
          <w:szCs w:val="24"/>
        </w:rPr>
      </w:pPr>
      <w:r>
        <w:rPr>
          <w:rFonts w:hint="eastAsia" w:ascii="宋体" w:hAnsi="宋体" w:cs="宋体"/>
          <w:b/>
          <w:bCs/>
          <w:kern w:val="0"/>
          <w:sz w:val="24"/>
          <w:szCs w:val="24"/>
          <w:lang w:val="en-US" w:eastAsia="zh-CN"/>
        </w:rPr>
        <w:t>二</w:t>
      </w:r>
      <w:r>
        <w:rPr>
          <w:rFonts w:hint="eastAsia" w:ascii="宋体" w:hAnsi="宋体" w:cs="宋体"/>
          <w:b/>
          <w:bCs/>
          <w:kern w:val="0"/>
          <w:sz w:val="24"/>
          <w:szCs w:val="24"/>
        </w:rPr>
        <w:t>、结核分枝杆菌显微扫描系统</w:t>
      </w:r>
    </w:p>
    <w:p w14:paraId="4F839BE9">
      <w:pPr>
        <w:widowControl/>
        <w:jc w:val="left"/>
        <w:rPr>
          <w:rFonts w:hint="eastAsia" w:ascii="宋体" w:hAnsi="宋体" w:cs="宋体"/>
          <w:kern w:val="0"/>
          <w:sz w:val="24"/>
          <w:szCs w:val="24"/>
        </w:rPr>
      </w:pPr>
      <w:r>
        <w:rPr>
          <w:rFonts w:hint="eastAsia" w:ascii="宋体" w:hAnsi="宋体" w:cs="宋体"/>
          <w:kern w:val="0"/>
          <w:sz w:val="24"/>
          <w:szCs w:val="24"/>
        </w:rPr>
        <w:t>1.适用范围：适用于对临床样本的显微图像进行浏览、筛选、存储及管理。（以注册证适用范围为准）</w:t>
      </w:r>
    </w:p>
    <w:p w14:paraId="577ADCDA">
      <w:pPr>
        <w:widowControl/>
        <w:jc w:val="left"/>
        <w:rPr>
          <w:rFonts w:hint="eastAsia" w:ascii="宋体" w:hAnsi="宋体" w:cs="宋体"/>
          <w:kern w:val="0"/>
          <w:sz w:val="24"/>
          <w:szCs w:val="24"/>
        </w:rPr>
      </w:pPr>
      <w:r>
        <w:rPr>
          <w:rFonts w:hint="eastAsia" w:ascii="宋体" w:hAnsi="宋体" w:cs="宋体"/>
          <w:kern w:val="0"/>
          <w:sz w:val="24"/>
          <w:szCs w:val="24"/>
        </w:rPr>
        <w:t>2.扫描方式：自动预览玻片的样本轮廓并计算样本面积，逐视野连续采集图像，可拼接成样本区域全景数字图像；具备对扫描图像的目标物筛选和标注功能。</w:t>
      </w:r>
    </w:p>
    <w:p w14:paraId="10441508">
      <w:pPr>
        <w:widowControl/>
        <w:jc w:val="left"/>
        <w:rPr>
          <w:rFonts w:hint="eastAsia" w:ascii="宋体" w:hAnsi="宋体" w:cs="宋体"/>
          <w:kern w:val="0"/>
          <w:sz w:val="24"/>
          <w:szCs w:val="24"/>
        </w:rPr>
      </w:pPr>
      <w:r>
        <w:rPr>
          <w:rFonts w:hint="eastAsia" w:ascii="宋体" w:hAnsi="宋体" w:cs="宋体"/>
          <w:kern w:val="0"/>
          <w:sz w:val="24"/>
          <w:szCs w:val="24"/>
        </w:rPr>
        <w:t>3.扫描速度：扫描15mm×15mm样本区域≤180秒；支持逐视野自动对焦采集；图像分辨率≤0.20μm/pixel</w:t>
      </w:r>
    </w:p>
    <w:p w14:paraId="24982408">
      <w:pPr>
        <w:widowControl/>
        <w:jc w:val="left"/>
        <w:rPr>
          <w:rFonts w:hint="eastAsia" w:ascii="宋体" w:hAnsi="宋体" w:cs="宋体"/>
          <w:kern w:val="0"/>
          <w:sz w:val="24"/>
          <w:szCs w:val="24"/>
        </w:rPr>
      </w:pPr>
      <w:r>
        <w:rPr>
          <w:rFonts w:hint="eastAsia" w:ascii="宋体" w:hAnsi="宋体" w:cs="宋体"/>
          <w:kern w:val="0"/>
          <w:sz w:val="24"/>
          <w:szCs w:val="24"/>
        </w:rPr>
        <w:t>4.对焦机构：具备高精度自动对焦功能，支持实时对焦或预对焦+精细对焦模式，XYZ三轴运动稳定性≤200nm，Z轴定位精度≤1μm，满足高倍镜下清晰成像需求。</w:t>
      </w:r>
    </w:p>
    <w:p w14:paraId="4CB59D85">
      <w:pPr>
        <w:widowControl/>
        <w:jc w:val="left"/>
        <w:rPr>
          <w:rFonts w:hint="eastAsia" w:ascii="宋体" w:hAnsi="宋体" w:cs="宋体"/>
          <w:kern w:val="0"/>
          <w:sz w:val="24"/>
          <w:szCs w:val="24"/>
        </w:rPr>
      </w:pPr>
      <w:r>
        <w:rPr>
          <w:rFonts w:hint="eastAsia" w:ascii="宋体" w:hAnsi="宋体" w:cs="宋体"/>
          <w:kern w:val="0"/>
          <w:sz w:val="24"/>
          <w:szCs w:val="24"/>
        </w:rPr>
        <w:t>5.物镜配置：配备高数值孔径浸油物镜，放大倍数包含60倍或100倍（至少配置一种），满足抗酸杆菌形态学观察需求。</w:t>
      </w:r>
    </w:p>
    <w:p w14:paraId="253097AC">
      <w:pPr>
        <w:widowControl/>
        <w:jc w:val="left"/>
        <w:rPr>
          <w:rFonts w:hint="eastAsia" w:ascii="宋体" w:hAnsi="宋体" w:cs="宋体"/>
          <w:kern w:val="0"/>
          <w:sz w:val="24"/>
          <w:szCs w:val="24"/>
        </w:rPr>
      </w:pPr>
      <w:r>
        <w:rPr>
          <w:rFonts w:hint="eastAsia" w:ascii="宋体" w:hAnsi="宋体" w:cs="宋体"/>
          <w:kern w:val="0"/>
          <w:sz w:val="24"/>
          <w:szCs w:val="24"/>
        </w:rPr>
        <w:t>6.相机类型：高速相机≥帧率 160 帧/秒；满足全片连续扫描的高速图像采集要求。</w:t>
      </w:r>
    </w:p>
    <w:p w14:paraId="5C47B9AB">
      <w:pPr>
        <w:widowControl/>
        <w:jc w:val="left"/>
        <w:rPr>
          <w:rFonts w:hint="eastAsia" w:ascii="宋体" w:hAnsi="宋体" w:cs="宋体"/>
          <w:kern w:val="0"/>
          <w:sz w:val="24"/>
          <w:szCs w:val="24"/>
        </w:rPr>
      </w:pPr>
      <w:r>
        <w:rPr>
          <w:rFonts w:hint="eastAsia" w:ascii="宋体" w:hAnsi="宋体" w:cs="宋体"/>
          <w:kern w:val="0"/>
          <w:sz w:val="24"/>
          <w:szCs w:val="24"/>
        </w:rPr>
        <w:t>7.数据接口：支持高速数据传输接口（如USB3.0/3.1、Camera Link、CoaXPress、TCP/IP等），保证图像数据实时稳定传输；支持设备控制与图像数据传输独立或高效协同，确保扫描过程稳定。</w:t>
      </w:r>
    </w:p>
    <w:p w14:paraId="550A52C2">
      <w:pPr>
        <w:widowControl/>
        <w:jc w:val="left"/>
        <w:rPr>
          <w:rFonts w:hint="eastAsia" w:ascii="宋体" w:hAnsi="宋体" w:cs="宋体"/>
          <w:kern w:val="0"/>
          <w:sz w:val="24"/>
          <w:szCs w:val="24"/>
        </w:rPr>
      </w:pPr>
      <w:r>
        <w:rPr>
          <w:rFonts w:hint="eastAsia" w:ascii="宋体" w:hAnsi="宋体" w:cs="宋体"/>
          <w:kern w:val="0"/>
          <w:sz w:val="24"/>
          <w:szCs w:val="24"/>
        </w:rPr>
        <w:t>8.AI算力：配备独立GPU或专用AI计算单元，满足AI图像处理的算力要求。</w:t>
      </w:r>
    </w:p>
    <w:p w14:paraId="5A8EF6E9">
      <w:pPr>
        <w:widowControl/>
        <w:jc w:val="left"/>
        <w:rPr>
          <w:rFonts w:hint="eastAsia" w:ascii="宋体" w:hAnsi="宋体" w:cs="宋体"/>
          <w:kern w:val="0"/>
          <w:sz w:val="24"/>
          <w:szCs w:val="24"/>
        </w:rPr>
      </w:pPr>
      <w:r>
        <w:rPr>
          <w:rFonts w:hint="eastAsia" w:ascii="宋体" w:hAnsi="宋体" w:cs="宋体"/>
          <w:kern w:val="0"/>
          <w:sz w:val="24"/>
          <w:szCs w:val="24"/>
        </w:rPr>
        <w:t>9.数字保存：玻片扫描后生成数字化全片图像，支持通用数字病理格式（如DICOM WSI、TIFF、SVS、KFB、BIMG等）存储，支持无损压缩，可永久保存并支持第三方软件调阅。</w:t>
      </w:r>
    </w:p>
    <w:p w14:paraId="0E276227">
      <w:pPr>
        <w:widowControl/>
        <w:jc w:val="left"/>
        <w:rPr>
          <w:rFonts w:hint="eastAsia" w:ascii="宋体" w:hAnsi="宋体" w:cs="宋体"/>
          <w:kern w:val="0"/>
          <w:sz w:val="24"/>
          <w:szCs w:val="24"/>
        </w:rPr>
      </w:pPr>
      <w:r>
        <w:rPr>
          <w:rFonts w:hint="eastAsia" w:ascii="宋体" w:hAnsi="宋体" w:cs="宋体"/>
          <w:kern w:val="0"/>
          <w:sz w:val="24"/>
          <w:szCs w:val="24"/>
        </w:rPr>
        <w:t>10.报告管理：支持检测报告的数字化管理与追溯，报告具有唯一标识（二维码），支持连接LIS/HIS系统，支持报告信息的快速查询与调阅。</w:t>
      </w:r>
    </w:p>
    <w:p w14:paraId="2F1CE248">
      <w:pPr>
        <w:widowControl/>
        <w:jc w:val="left"/>
        <w:rPr>
          <w:rFonts w:hint="eastAsia" w:ascii="宋体" w:hAnsi="宋体" w:cs="宋体"/>
          <w:kern w:val="0"/>
          <w:sz w:val="24"/>
          <w:szCs w:val="24"/>
        </w:rPr>
      </w:pPr>
      <w:r>
        <w:rPr>
          <w:rFonts w:hint="eastAsia" w:ascii="宋体" w:hAnsi="宋体" w:cs="宋体"/>
          <w:kern w:val="0"/>
          <w:sz w:val="24"/>
          <w:szCs w:val="24"/>
        </w:rPr>
        <w:t>11.多模块扩展：常规配置抗酸杆菌扫描分析模块；系统具备开放式架构，支持后期根据临床需求扩展其他微生物或细胞学扫描分析模块（如革兰染色、真菌、疟原虫等）。</w:t>
      </w:r>
    </w:p>
    <w:p w14:paraId="09833395">
      <w:pPr>
        <w:widowControl/>
        <w:jc w:val="left"/>
        <w:rPr>
          <w:rFonts w:hint="eastAsia" w:ascii="宋体" w:hAnsi="宋体" w:cs="宋体"/>
          <w:kern w:val="0"/>
          <w:sz w:val="24"/>
          <w:szCs w:val="24"/>
        </w:rPr>
      </w:pPr>
      <w:r>
        <w:rPr>
          <w:rFonts w:hint="eastAsia" w:ascii="宋体" w:hAnsi="宋体" w:cs="宋体"/>
          <w:kern w:val="0"/>
          <w:sz w:val="24"/>
          <w:szCs w:val="24"/>
        </w:rPr>
        <w:t>12.远程阅片：支持远程调阅全片数字图像，数据传输符合国家信息安全等级保护要求。</w:t>
      </w:r>
    </w:p>
    <w:p w14:paraId="0BF5CD43">
      <w:pPr>
        <w:widowControl/>
        <w:jc w:val="left"/>
        <w:rPr>
          <w:rFonts w:hint="eastAsia" w:ascii="宋体" w:hAnsi="宋体" w:cs="宋体"/>
          <w:kern w:val="0"/>
          <w:sz w:val="24"/>
          <w:szCs w:val="24"/>
        </w:rPr>
      </w:pPr>
      <w:r>
        <w:rPr>
          <w:rFonts w:hint="eastAsia" w:ascii="宋体" w:hAnsi="宋体" w:cs="宋体"/>
          <w:kern w:val="0"/>
          <w:sz w:val="24"/>
          <w:szCs w:val="24"/>
        </w:rPr>
        <w:t>13.单批上样通量：≥100片或更高通量配置；可连续上样，支持边扫描边上样，支持单片加急优先扫描。</w:t>
      </w:r>
    </w:p>
    <w:p w14:paraId="3AC1D456">
      <w:pPr>
        <w:widowControl/>
        <w:jc w:val="left"/>
        <w:rPr>
          <w:rFonts w:hint="eastAsia" w:ascii="宋体" w:hAnsi="宋体" w:cs="宋体"/>
          <w:kern w:val="0"/>
          <w:sz w:val="24"/>
          <w:szCs w:val="24"/>
        </w:rPr>
      </w:pPr>
      <w:r>
        <w:rPr>
          <w:rFonts w:hint="eastAsia" w:ascii="宋体" w:hAnsi="宋体" w:cs="宋体"/>
          <w:kern w:val="0"/>
          <w:sz w:val="24"/>
          <w:szCs w:val="24"/>
        </w:rPr>
        <w:t>14.混合扫描：设备应具备多模式混合扫描能力，支持在同一批次样本中设置不同的扫描模式，扫描过程中自动切换扫描模式完成同批次扫描，无需人工切换或停止扫描来更换扫描方式。</w:t>
      </w:r>
    </w:p>
    <w:p w14:paraId="56140F1B">
      <w:pPr>
        <w:widowControl/>
        <w:jc w:val="left"/>
        <w:rPr>
          <w:rFonts w:hint="eastAsia" w:ascii="宋体" w:hAnsi="宋体" w:cs="宋体"/>
          <w:kern w:val="0"/>
          <w:sz w:val="24"/>
          <w:szCs w:val="24"/>
        </w:rPr>
      </w:pPr>
      <w:r>
        <w:rPr>
          <w:rFonts w:hint="eastAsia" w:ascii="宋体" w:hAnsi="宋体" w:cs="宋体"/>
          <w:kern w:val="0"/>
          <w:sz w:val="24"/>
          <w:szCs w:val="24"/>
        </w:rPr>
        <w:t>15.工作站：配备高性能图像工作站，满足高速图像采集、拼接处理、AI分析及数据存储的性能要求。</w:t>
      </w:r>
    </w:p>
    <w:p w14:paraId="5DA25BB6">
      <w:pPr>
        <w:widowControl/>
        <w:jc w:val="left"/>
        <w:rPr>
          <w:rFonts w:hint="eastAsia" w:ascii="宋体" w:hAnsi="宋体" w:cs="宋体"/>
          <w:kern w:val="0"/>
          <w:sz w:val="24"/>
          <w:szCs w:val="24"/>
        </w:rPr>
      </w:pPr>
      <w:r>
        <w:rPr>
          <w:rFonts w:hint="eastAsia" w:ascii="宋体" w:hAnsi="宋体" w:cs="宋体"/>
          <w:kern w:val="0"/>
          <w:sz w:val="24"/>
          <w:szCs w:val="24"/>
        </w:rPr>
        <w:t>16.工作站内存：≥32GB，可扩展至≥128GB；工作站硬盘：系统盘≥512GB SSD，数据盘≥4TB。</w:t>
      </w:r>
    </w:p>
    <w:p w14:paraId="09F062F6">
      <w:pPr>
        <w:widowControl/>
        <w:jc w:val="left"/>
        <w:rPr>
          <w:rFonts w:hint="eastAsia" w:ascii="宋体" w:hAnsi="宋体" w:cs="宋体"/>
          <w:kern w:val="0"/>
          <w:sz w:val="24"/>
          <w:szCs w:val="24"/>
        </w:rPr>
      </w:pPr>
      <w:r>
        <w:rPr>
          <w:rFonts w:hint="eastAsia" w:ascii="宋体" w:hAnsi="宋体" w:cs="宋体"/>
          <w:kern w:val="0"/>
          <w:sz w:val="24"/>
          <w:szCs w:val="24"/>
        </w:rPr>
        <w:t>17.工作站显示器：≥24英寸，分辨率≥1920×1080。</w:t>
      </w:r>
    </w:p>
    <w:p w14:paraId="7CF05803">
      <w:pPr>
        <w:widowControl/>
        <w:jc w:val="left"/>
        <w:rPr>
          <w:rFonts w:hint="eastAsia" w:ascii="宋体" w:hAnsi="宋体" w:cs="宋体"/>
          <w:b w:val="0"/>
          <w:bCs w:val="0"/>
          <w:kern w:val="0"/>
          <w:sz w:val="24"/>
          <w:szCs w:val="24"/>
        </w:rPr>
      </w:pPr>
      <w:r>
        <w:rPr>
          <w:rFonts w:hint="eastAsia" w:ascii="宋体" w:hAnsi="宋体" w:cs="宋体"/>
          <w:kern w:val="0"/>
          <w:sz w:val="24"/>
          <w:szCs w:val="24"/>
        </w:rPr>
        <w:t>18、</w:t>
      </w:r>
      <w:bookmarkStart w:id="0" w:name="_GoBack"/>
      <w:r>
        <w:rPr>
          <w:rFonts w:hint="eastAsia" w:ascii="宋体" w:hAnsi="宋体" w:cs="宋体"/>
          <w:b w:val="0"/>
          <w:bCs w:val="0"/>
          <w:kern w:val="0"/>
          <w:sz w:val="24"/>
          <w:szCs w:val="24"/>
        </w:rPr>
        <w:t>需要提供设备生产厂商针对本项目盖章确认的授权书及售后服务承诺书原件。</w:t>
      </w:r>
    </w:p>
    <w:p w14:paraId="0B257A5F">
      <w:pPr>
        <w:widowControl/>
        <w:jc w:val="left"/>
        <w:rPr>
          <w:rFonts w:hint="eastAsia" w:ascii="宋体" w:hAnsi="宋体" w:cs="宋体"/>
          <w:b w:val="0"/>
          <w:bCs w:val="0"/>
          <w:kern w:val="0"/>
          <w:sz w:val="24"/>
          <w:szCs w:val="24"/>
        </w:rPr>
      </w:pPr>
      <w:r>
        <w:rPr>
          <w:rFonts w:hint="eastAsia" w:ascii="宋体" w:hAnsi="宋体" w:cs="宋体"/>
          <w:b w:val="0"/>
          <w:bCs w:val="0"/>
          <w:kern w:val="0"/>
          <w:sz w:val="24"/>
          <w:szCs w:val="24"/>
        </w:rPr>
        <w:t>19、设备配置要求：</w:t>
      </w:r>
    </w:p>
    <w:bookmarkEnd w:id="0"/>
    <w:tbl>
      <w:tblPr>
        <w:tblStyle w:val="3"/>
        <w:tblW w:w="9860" w:type="dxa"/>
        <w:tblInd w:w="0" w:type="dxa"/>
        <w:tblLayout w:type="fixed"/>
        <w:tblCellMar>
          <w:top w:w="0" w:type="dxa"/>
          <w:left w:w="108" w:type="dxa"/>
          <w:bottom w:w="0" w:type="dxa"/>
          <w:right w:w="108" w:type="dxa"/>
        </w:tblCellMar>
      </w:tblPr>
      <w:tblGrid>
        <w:gridCol w:w="666"/>
        <w:gridCol w:w="2950"/>
        <w:gridCol w:w="825"/>
        <w:gridCol w:w="1050"/>
        <w:gridCol w:w="4369"/>
      </w:tblGrid>
      <w:tr w14:paraId="584F52F6">
        <w:tblPrEx>
          <w:tblCellMar>
            <w:top w:w="0" w:type="dxa"/>
            <w:left w:w="108" w:type="dxa"/>
            <w:bottom w:w="0" w:type="dxa"/>
            <w:right w:w="108" w:type="dxa"/>
          </w:tblCellMar>
        </w:tblPrEx>
        <w:trPr>
          <w:trHeight w:val="320" w:hRule="atLeast"/>
        </w:trPr>
        <w:tc>
          <w:tcPr>
            <w:tcW w:w="666" w:type="dxa"/>
            <w:tcBorders>
              <w:top w:val="single" w:color="auto" w:sz="4" w:space="0"/>
              <w:left w:val="single" w:color="auto" w:sz="4" w:space="0"/>
              <w:bottom w:val="single" w:color="auto" w:sz="4" w:space="0"/>
              <w:right w:val="single" w:color="auto" w:sz="4" w:space="0"/>
            </w:tcBorders>
            <w:noWrap w:val="0"/>
            <w:vAlign w:val="top"/>
          </w:tcPr>
          <w:p w14:paraId="2D3463A3">
            <w:pPr>
              <w:widowControl/>
              <w:jc w:val="left"/>
              <w:textAlignment w:val="top"/>
              <w:rPr>
                <w:rFonts w:hint="eastAsia" w:ascii="宋体" w:hAnsi="宋体" w:cs="宋体"/>
                <w:b/>
                <w:bCs/>
                <w:color w:val="000000"/>
              </w:rPr>
            </w:pPr>
            <w:r>
              <w:rPr>
                <w:rFonts w:hint="eastAsia" w:ascii="宋体" w:hAnsi="宋体" w:cs="宋体"/>
                <w:b/>
                <w:bCs/>
                <w:color w:val="000000"/>
              </w:rPr>
              <w:t>序号</w:t>
            </w:r>
          </w:p>
        </w:tc>
        <w:tc>
          <w:tcPr>
            <w:tcW w:w="2950" w:type="dxa"/>
            <w:tcBorders>
              <w:top w:val="single" w:color="auto" w:sz="4" w:space="0"/>
              <w:left w:val="single" w:color="auto" w:sz="4" w:space="0"/>
              <w:bottom w:val="single" w:color="auto" w:sz="4" w:space="0"/>
              <w:right w:val="single" w:color="auto" w:sz="4" w:space="0"/>
            </w:tcBorders>
            <w:noWrap w:val="0"/>
            <w:vAlign w:val="top"/>
          </w:tcPr>
          <w:p w14:paraId="600FAC3D">
            <w:pPr>
              <w:widowControl/>
              <w:textAlignment w:val="top"/>
              <w:rPr>
                <w:rFonts w:hint="eastAsia" w:ascii="宋体" w:hAnsi="宋体" w:cs="宋体"/>
                <w:b/>
                <w:bCs/>
                <w:color w:val="000000"/>
              </w:rPr>
            </w:pPr>
            <w:r>
              <w:rPr>
                <w:rFonts w:hint="eastAsia" w:ascii="宋体" w:hAnsi="宋体" w:cs="宋体"/>
                <w:b/>
                <w:bCs/>
                <w:color w:val="000000"/>
                <w:kern w:val="0"/>
                <w:lang w:bidi="ar"/>
              </w:rPr>
              <w:t>名称</w:t>
            </w:r>
          </w:p>
        </w:tc>
        <w:tc>
          <w:tcPr>
            <w:tcW w:w="825" w:type="dxa"/>
            <w:tcBorders>
              <w:top w:val="single" w:color="auto" w:sz="4" w:space="0"/>
              <w:left w:val="single" w:color="auto" w:sz="4" w:space="0"/>
              <w:bottom w:val="single" w:color="auto" w:sz="4" w:space="0"/>
              <w:right w:val="single" w:color="auto" w:sz="4" w:space="0"/>
            </w:tcBorders>
            <w:noWrap w:val="0"/>
            <w:vAlign w:val="top"/>
          </w:tcPr>
          <w:p w14:paraId="135C6ABC">
            <w:pPr>
              <w:widowControl/>
              <w:jc w:val="left"/>
              <w:textAlignment w:val="top"/>
              <w:rPr>
                <w:rFonts w:hint="eastAsia" w:ascii="宋体" w:hAnsi="宋体" w:cs="宋体"/>
                <w:b/>
                <w:bCs/>
                <w:color w:val="000000"/>
              </w:rPr>
            </w:pPr>
            <w:r>
              <w:rPr>
                <w:rFonts w:hint="eastAsia" w:ascii="宋体" w:hAnsi="宋体" w:cs="宋体"/>
                <w:b/>
                <w:bCs/>
                <w:color w:val="000000"/>
              </w:rPr>
              <w:t>数量</w:t>
            </w:r>
          </w:p>
        </w:tc>
        <w:tc>
          <w:tcPr>
            <w:tcW w:w="1050" w:type="dxa"/>
            <w:tcBorders>
              <w:top w:val="single" w:color="auto" w:sz="4" w:space="0"/>
              <w:left w:val="single" w:color="auto" w:sz="4" w:space="0"/>
              <w:bottom w:val="single" w:color="auto" w:sz="4" w:space="0"/>
              <w:right w:val="single" w:color="auto" w:sz="4" w:space="0"/>
            </w:tcBorders>
            <w:noWrap w:val="0"/>
            <w:vAlign w:val="top"/>
          </w:tcPr>
          <w:p w14:paraId="6250328B">
            <w:pPr>
              <w:widowControl/>
              <w:jc w:val="left"/>
              <w:textAlignment w:val="top"/>
              <w:rPr>
                <w:rFonts w:ascii="宋体" w:hAnsi="宋体" w:cs="宋体"/>
                <w:b/>
                <w:bCs/>
                <w:color w:val="000000"/>
                <w:kern w:val="0"/>
                <w:lang w:bidi="ar"/>
              </w:rPr>
            </w:pPr>
            <w:r>
              <w:rPr>
                <w:rFonts w:hint="eastAsia" w:ascii="宋体" w:hAnsi="宋体" w:cs="宋体"/>
                <w:b/>
                <w:bCs/>
                <w:color w:val="000000"/>
                <w:kern w:val="0"/>
                <w:lang w:bidi="ar"/>
              </w:rPr>
              <w:t>单位</w:t>
            </w:r>
          </w:p>
        </w:tc>
        <w:tc>
          <w:tcPr>
            <w:tcW w:w="4369" w:type="dxa"/>
            <w:tcBorders>
              <w:top w:val="single" w:color="auto" w:sz="4" w:space="0"/>
              <w:left w:val="single" w:color="auto" w:sz="4" w:space="0"/>
              <w:bottom w:val="single" w:color="auto" w:sz="4" w:space="0"/>
              <w:right w:val="single" w:color="auto" w:sz="4" w:space="0"/>
            </w:tcBorders>
            <w:noWrap w:val="0"/>
            <w:vAlign w:val="top"/>
          </w:tcPr>
          <w:p w14:paraId="1F03F3A3">
            <w:pPr>
              <w:widowControl/>
              <w:jc w:val="left"/>
              <w:textAlignment w:val="top"/>
              <w:rPr>
                <w:rFonts w:hint="eastAsia" w:ascii="宋体" w:hAnsi="宋体" w:cs="宋体"/>
                <w:b/>
                <w:bCs/>
                <w:color w:val="000000"/>
              </w:rPr>
            </w:pPr>
            <w:r>
              <w:rPr>
                <w:rFonts w:hint="eastAsia" w:ascii="宋体" w:hAnsi="宋体" w:cs="宋体"/>
                <w:b/>
                <w:bCs/>
                <w:color w:val="000000"/>
                <w:kern w:val="0"/>
                <w:lang w:bidi="ar"/>
              </w:rPr>
              <w:t>备注</w:t>
            </w:r>
          </w:p>
        </w:tc>
      </w:tr>
      <w:tr w14:paraId="4CB6EEC1">
        <w:tblPrEx>
          <w:tblCellMar>
            <w:top w:w="0" w:type="dxa"/>
            <w:left w:w="108" w:type="dxa"/>
            <w:bottom w:w="0" w:type="dxa"/>
            <w:right w:w="108" w:type="dxa"/>
          </w:tblCellMar>
        </w:tblPrEx>
        <w:trPr>
          <w:trHeight w:val="289" w:hRule="atLeast"/>
        </w:trPr>
        <w:tc>
          <w:tcPr>
            <w:tcW w:w="666" w:type="dxa"/>
            <w:tcBorders>
              <w:top w:val="single" w:color="auto" w:sz="4" w:space="0"/>
              <w:left w:val="single" w:color="auto" w:sz="4" w:space="0"/>
              <w:bottom w:val="single" w:color="auto" w:sz="4" w:space="0"/>
              <w:right w:val="single" w:color="auto" w:sz="4" w:space="0"/>
            </w:tcBorders>
            <w:noWrap/>
            <w:vAlign w:val="center"/>
          </w:tcPr>
          <w:p w14:paraId="7EBB578E">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2950" w:type="dxa"/>
            <w:tcBorders>
              <w:top w:val="single" w:color="auto" w:sz="4" w:space="0"/>
              <w:left w:val="single" w:color="auto" w:sz="4" w:space="0"/>
              <w:bottom w:val="single" w:color="auto" w:sz="4" w:space="0"/>
              <w:right w:val="single" w:color="auto" w:sz="4" w:space="0"/>
            </w:tcBorders>
            <w:noWrap/>
            <w:vAlign w:val="center"/>
          </w:tcPr>
          <w:p w14:paraId="349E7AC6">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主机（扫描系统）</w:t>
            </w:r>
          </w:p>
        </w:tc>
        <w:tc>
          <w:tcPr>
            <w:tcW w:w="825" w:type="dxa"/>
            <w:tcBorders>
              <w:top w:val="single" w:color="auto" w:sz="4" w:space="0"/>
              <w:left w:val="single" w:color="auto" w:sz="4" w:space="0"/>
              <w:bottom w:val="single" w:color="auto" w:sz="4" w:space="0"/>
              <w:right w:val="single" w:color="auto" w:sz="4" w:space="0"/>
            </w:tcBorders>
            <w:noWrap/>
            <w:vAlign w:val="center"/>
          </w:tcPr>
          <w:p w14:paraId="7AD78442">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050" w:type="dxa"/>
            <w:tcBorders>
              <w:top w:val="single" w:color="auto" w:sz="4" w:space="0"/>
              <w:left w:val="single" w:color="auto" w:sz="4" w:space="0"/>
              <w:bottom w:val="single" w:color="auto" w:sz="4" w:space="0"/>
              <w:right w:val="single" w:color="auto" w:sz="4" w:space="0"/>
            </w:tcBorders>
            <w:noWrap/>
            <w:vAlign w:val="center"/>
          </w:tcPr>
          <w:p w14:paraId="76FF6B5E">
            <w:pPr>
              <w:jc w:val="left"/>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4369" w:type="dxa"/>
            <w:tcBorders>
              <w:top w:val="single" w:color="auto" w:sz="4" w:space="0"/>
              <w:left w:val="single" w:color="auto" w:sz="4" w:space="0"/>
              <w:bottom w:val="single" w:color="auto" w:sz="4" w:space="0"/>
              <w:right w:val="single" w:color="auto" w:sz="4" w:space="0"/>
            </w:tcBorders>
            <w:noWrap/>
            <w:vAlign w:val="center"/>
          </w:tcPr>
          <w:p w14:paraId="1911D442">
            <w:pPr>
              <w:jc w:val="left"/>
              <w:rPr>
                <w:rFonts w:hint="eastAsia" w:ascii="宋体" w:hAnsi="宋体" w:cs="宋体"/>
                <w:color w:val="000000"/>
                <w:sz w:val="22"/>
                <w:szCs w:val="22"/>
              </w:rPr>
            </w:pPr>
          </w:p>
        </w:tc>
      </w:tr>
      <w:tr w14:paraId="21D63973">
        <w:tblPrEx>
          <w:tblCellMar>
            <w:top w:w="0" w:type="dxa"/>
            <w:left w:w="108" w:type="dxa"/>
            <w:bottom w:w="0" w:type="dxa"/>
            <w:right w:w="108" w:type="dxa"/>
          </w:tblCellMar>
        </w:tblPrEx>
        <w:trPr>
          <w:trHeight w:val="320" w:hRule="atLeast"/>
        </w:trPr>
        <w:tc>
          <w:tcPr>
            <w:tcW w:w="666" w:type="dxa"/>
            <w:tcBorders>
              <w:top w:val="single" w:color="auto" w:sz="4" w:space="0"/>
              <w:left w:val="single" w:color="auto" w:sz="4" w:space="0"/>
              <w:bottom w:val="single" w:color="auto" w:sz="4" w:space="0"/>
              <w:right w:val="single" w:color="auto" w:sz="4" w:space="0"/>
            </w:tcBorders>
            <w:noWrap/>
            <w:vAlign w:val="center"/>
          </w:tcPr>
          <w:p w14:paraId="734FFB3E">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2</w:t>
            </w:r>
          </w:p>
        </w:tc>
        <w:tc>
          <w:tcPr>
            <w:tcW w:w="2950" w:type="dxa"/>
            <w:tcBorders>
              <w:top w:val="single" w:color="auto" w:sz="4" w:space="0"/>
              <w:left w:val="single" w:color="auto" w:sz="4" w:space="0"/>
              <w:bottom w:val="single" w:color="auto" w:sz="4" w:space="0"/>
              <w:right w:val="single" w:color="auto" w:sz="4" w:space="0"/>
            </w:tcBorders>
            <w:noWrap/>
            <w:vAlign w:val="center"/>
          </w:tcPr>
          <w:p w14:paraId="3FFF193C">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工作站（扫描仪控制系统）</w:t>
            </w:r>
          </w:p>
        </w:tc>
        <w:tc>
          <w:tcPr>
            <w:tcW w:w="825" w:type="dxa"/>
            <w:tcBorders>
              <w:top w:val="single" w:color="auto" w:sz="4" w:space="0"/>
              <w:left w:val="single" w:color="auto" w:sz="4" w:space="0"/>
              <w:bottom w:val="single" w:color="auto" w:sz="4" w:space="0"/>
              <w:right w:val="single" w:color="auto" w:sz="4" w:space="0"/>
            </w:tcBorders>
            <w:noWrap/>
            <w:vAlign w:val="center"/>
          </w:tcPr>
          <w:p w14:paraId="7DAE63FF">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050" w:type="dxa"/>
            <w:tcBorders>
              <w:top w:val="single" w:color="auto" w:sz="4" w:space="0"/>
              <w:left w:val="single" w:color="auto" w:sz="4" w:space="0"/>
              <w:bottom w:val="single" w:color="auto" w:sz="4" w:space="0"/>
              <w:right w:val="single" w:color="auto" w:sz="4" w:space="0"/>
            </w:tcBorders>
            <w:noWrap/>
            <w:vAlign w:val="center"/>
          </w:tcPr>
          <w:p w14:paraId="75DA911C">
            <w:pPr>
              <w:jc w:val="left"/>
              <w:rPr>
                <w:rFonts w:hint="eastAsia" w:ascii="宋体" w:hAnsi="宋体" w:cs="宋体"/>
                <w:color w:val="000000"/>
                <w:sz w:val="22"/>
                <w:szCs w:val="22"/>
              </w:rPr>
            </w:pPr>
            <w:r>
              <w:rPr>
                <w:rFonts w:hint="eastAsia" w:ascii="宋体" w:hAnsi="宋体" w:cs="宋体"/>
                <w:color w:val="000000"/>
                <w:kern w:val="0"/>
                <w:sz w:val="22"/>
                <w:szCs w:val="22"/>
                <w:lang w:bidi="ar"/>
              </w:rPr>
              <w:t>套</w:t>
            </w:r>
          </w:p>
        </w:tc>
        <w:tc>
          <w:tcPr>
            <w:tcW w:w="4369" w:type="dxa"/>
            <w:tcBorders>
              <w:top w:val="single" w:color="auto" w:sz="4" w:space="0"/>
              <w:left w:val="single" w:color="auto" w:sz="4" w:space="0"/>
              <w:bottom w:val="single" w:color="auto" w:sz="4" w:space="0"/>
              <w:right w:val="single" w:color="auto" w:sz="4" w:space="0"/>
            </w:tcBorders>
            <w:noWrap/>
            <w:vAlign w:val="center"/>
          </w:tcPr>
          <w:p w14:paraId="6ACB841C">
            <w:pPr>
              <w:jc w:val="left"/>
              <w:rPr>
                <w:rFonts w:hint="eastAsia" w:ascii="宋体" w:hAnsi="宋体" w:cs="宋体"/>
                <w:color w:val="000000"/>
                <w:sz w:val="22"/>
                <w:szCs w:val="22"/>
              </w:rPr>
            </w:pPr>
          </w:p>
        </w:tc>
      </w:tr>
      <w:tr w14:paraId="6667B72E">
        <w:tblPrEx>
          <w:tblCellMar>
            <w:top w:w="0" w:type="dxa"/>
            <w:left w:w="108" w:type="dxa"/>
            <w:bottom w:w="0" w:type="dxa"/>
            <w:right w:w="108" w:type="dxa"/>
          </w:tblCellMar>
        </w:tblPrEx>
        <w:trPr>
          <w:trHeight w:val="581" w:hRule="atLeast"/>
        </w:trPr>
        <w:tc>
          <w:tcPr>
            <w:tcW w:w="666" w:type="dxa"/>
            <w:tcBorders>
              <w:top w:val="single" w:color="auto" w:sz="4" w:space="0"/>
              <w:left w:val="single" w:color="auto" w:sz="4" w:space="0"/>
              <w:bottom w:val="single" w:color="auto" w:sz="4" w:space="0"/>
              <w:right w:val="single" w:color="auto" w:sz="4" w:space="0"/>
            </w:tcBorders>
            <w:noWrap/>
            <w:vAlign w:val="center"/>
          </w:tcPr>
          <w:p w14:paraId="32106C4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3</w:t>
            </w:r>
          </w:p>
        </w:tc>
        <w:tc>
          <w:tcPr>
            <w:tcW w:w="2950" w:type="dxa"/>
            <w:tcBorders>
              <w:top w:val="single" w:color="auto" w:sz="4" w:space="0"/>
              <w:left w:val="single" w:color="auto" w:sz="4" w:space="0"/>
              <w:bottom w:val="single" w:color="auto" w:sz="4" w:space="0"/>
              <w:right w:val="single" w:color="auto" w:sz="4" w:space="0"/>
            </w:tcBorders>
            <w:noWrap/>
            <w:vAlign w:val="center"/>
          </w:tcPr>
          <w:p w14:paraId="04BF007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软件</w:t>
            </w:r>
          </w:p>
        </w:tc>
        <w:tc>
          <w:tcPr>
            <w:tcW w:w="825" w:type="dxa"/>
            <w:tcBorders>
              <w:top w:val="single" w:color="auto" w:sz="4" w:space="0"/>
              <w:left w:val="single" w:color="auto" w:sz="4" w:space="0"/>
              <w:bottom w:val="single" w:color="auto" w:sz="4" w:space="0"/>
              <w:right w:val="single" w:color="auto" w:sz="4" w:space="0"/>
            </w:tcBorders>
            <w:noWrap/>
            <w:vAlign w:val="center"/>
          </w:tcPr>
          <w:p w14:paraId="3692F19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050" w:type="dxa"/>
            <w:tcBorders>
              <w:top w:val="single" w:color="auto" w:sz="4" w:space="0"/>
              <w:left w:val="single" w:color="auto" w:sz="4" w:space="0"/>
              <w:bottom w:val="single" w:color="auto" w:sz="4" w:space="0"/>
              <w:right w:val="single" w:color="auto" w:sz="4" w:space="0"/>
            </w:tcBorders>
            <w:noWrap/>
            <w:vAlign w:val="center"/>
          </w:tcPr>
          <w:p w14:paraId="34FC29B9">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套</w:t>
            </w:r>
          </w:p>
        </w:tc>
        <w:tc>
          <w:tcPr>
            <w:tcW w:w="4369" w:type="dxa"/>
            <w:tcBorders>
              <w:top w:val="single" w:color="auto" w:sz="4" w:space="0"/>
              <w:left w:val="single" w:color="auto" w:sz="4" w:space="0"/>
              <w:bottom w:val="single" w:color="auto" w:sz="4" w:space="0"/>
              <w:right w:val="single" w:color="auto" w:sz="4" w:space="0"/>
            </w:tcBorders>
            <w:noWrap/>
            <w:vAlign w:val="center"/>
          </w:tcPr>
          <w:p w14:paraId="5E15A789">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后期可扩展支持AI - 微生物-革兰计数，疟原虫血涂片、肝吸虫涂片</w:t>
            </w:r>
          </w:p>
        </w:tc>
      </w:tr>
      <w:tr w14:paraId="3DC7D4F4">
        <w:tblPrEx>
          <w:tblCellMar>
            <w:top w:w="0" w:type="dxa"/>
            <w:left w:w="108" w:type="dxa"/>
            <w:bottom w:w="0" w:type="dxa"/>
            <w:right w:w="108" w:type="dxa"/>
          </w:tblCellMar>
        </w:tblPrEx>
        <w:trPr>
          <w:trHeight w:val="320" w:hRule="atLeast"/>
        </w:trPr>
        <w:tc>
          <w:tcPr>
            <w:tcW w:w="666" w:type="dxa"/>
            <w:tcBorders>
              <w:top w:val="single" w:color="auto" w:sz="4" w:space="0"/>
              <w:left w:val="single" w:color="auto" w:sz="4" w:space="0"/>
              <w:bottom w:val="single" w:color="auto" w:sz="4" w:space="0"/>
              <w:right w:val="single" w:color="auto" w:sz="4" w:space="0"/>
            </w:tcBorders>
            <w:noWrap/>
            <w:vAlign w:val="center"/>
          </w:tcPr>
          <w:p w14:paraId="7C6AAC94">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4</w:t>
            </w:r>
          </w:p>
        </w:tc>
        <w:tc>
          <w:tcPr>
            <w:tcW w:w="2950" w:type="dxa"/>
            <w:tcBorders>
              <w:top w:val="single" w:color="auto" w:sz="4" w:space="0"/>
              <w:left w:val="single" w:color="auto" w:sz="4" w:space="0"/>
              <w:bottom w:val="single" w:color="auto" w:sz="4" w:space="0"/>
              <w:right w:val="single" w:color="auto" w:sz="4" w:space="0"/>
            </w:tcBorders>
            <w:noWrap/>
            <w:vAlign w:val="center"/>
          </w:tcPr>
          <w:p w14:paraId="5BDAF4A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全自动玻片处理系统</w:t>
            </w:r>
          </w:p>
        </w:tc>
        <w:tc>
          <w:tcPr>
            <w:tcW w:w="825" w:type="dxa"/>
            <w:tcBorders>
              <w:top w:val="single" w:color="auto" w:sz="4" w:space="0"/>
              <w:left w:val="single" w:color="auto" w:sz="4" w:space="0"/>
              <w:bottom w:val="single" w:color="auto" w:sz="4" w:space="0"/>
              <w:right w:val="single" w:color="auto" w:sz="4" w:space="0"/>
            </w:tcBorders>
            <w:noWrap/>
            <w:vAlign w:val="center"/>
          </w:tcPr>
          <w:p w14:paraId="405F04B5">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w:t>
            </w:r>
          </w:p>
        </w:tc>
        <w:tc>
          <w:tcPr>
            <w:tcW w:w="1050" w:type="dxa"/>
            <w:tcBorders>
              <w:top w:val="single" w:color="auto" w:sz="4" w:space="0"/>
              <w:left w:val="single" w:color="auto" w:sz="4" w:space="0"/>
              <w:bottom w:val="single" w:color="auto" w:sz="4" w:space="0"/>
              <w:right w:val="single" w:color="auto" w:sz="4" w:space="0"/>
            </w:tcBorders>
            <w:noWrap/>
            <w:vAlign w:val="center"/>
          </w:tcPr>
          <w:p w14:paraId="0AC7F778">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套</w:t>
            </w:r>
          </w:p>
        </w:tc>
        <w:tc>
          <w:tcPr>
            <w:tcW w:w="4369" w:type="dxa"/>
            <w:tcBorders>
              <w:top w:val="single" w:color="auto" w:sz="4" w:space="0"/>
              <w:left w:val="single" w:color="auto" w:sz="4" w:space="0"/>
              <w:bottom w:val="single" w:color="auto" w:sz="4" w:space="0"/>
              <w:right w:val="single" w:color="auto" w:sz="4" w:space="0"/>
            </w:tcBorders>
            <w:noWrap/>
            <w:vAlign w:val="center"/>
          </w:tcPr>
          <w:p w14:paraId="63C80621">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片仓容量：≥100片</w:t>
            </w:r>
          </w:p>
        </w:tc>
      </w:tr>
    </w:tbl>
    <w:p w14:paraId="4C689E44">
      <w:pPr>
        <w:widowControl/>
        <w:jc w:val="left"/>
        <w:rPr>
          <w:rFonts w:ascii="宋体" w:hAnsi="宋体" w:cs="宋体"/>
          <w:kern w:val="0"/>
          <w:sz w:val="24"/>
          <w:szCs w:val="24"/>
        </w:rPr>
      </w:pPr>
    </w:p>
    <w:p w14:paraId="0A5C8CD3">
      <w:pPr>
        <w:widowControl/>
        <w:jc w:val="left"/>
        <w:rPr>
          <w:rFonts w:hint="eastAsia" w:ascii="宋体" w:hAnsi="宋体" w:cs="宋体"/>
          <w:b/>
          <w:bCs/>
          <w:kern w:val="0"/>
          <w:sz w:val="24"/>
          <w:szCs w:val="24"/>
        </w:rPr>
      </w:pPr>
      <w:r>
        <w:rPr>
          <w:rFonts w:hint="eastAsia" w:ascii="宋体" w:hAnsi="宋体" w:cs="宋体"/>
          <w:kern w:val="0"/>
          <w:sz w:val="24"/>
          <w:szCs w:val="24"/>
        </w:rPr>
        <w:t>三</w:t>
      </w:r>
      <w:r>
        <w:rPr>
          <w:rFonts w:hint="eastAsia" w:ascii="宋体" w:hAnsi="宋体" w:cs="宋体"/>
          <w:b/>
          <w:bCs/>
          <w:kern w:val="0"/>
          <w:sz w:val="24"/>
          <w:szCs w:val="24"/>
        </w:rPr>
        <w:t>、结核杆菌药敏微孔板扫描阅读仪</w:t>
      </w:r>
    </w:p>
    <w:p w14:paraId="53330468">
      <w:pPr>
        <w:widowControl/>
        <w:jc w:val="left"/>
        <w:rPr>
          <w:rFonts w:hint="eastAsia" w:ascii="宋体" w:hAnsi="宋体" w:cs="宋体"/>
          <w:kern w:val="0"/>
          <w:sz w:val="24"/>
          <w:szCs w:val="24"/>
        </w:rPr>
      </w:pPr>
      <w:r>
        <w:rPr>
          <w:rFonts w:hint="eastAsia" w:ascii="宋体" w:hAnsi="宋体" w:cs="宋体"/>
          <w:kern w:val="0"/>
          <w:sz w:val="24"/>
          <w:szCs w:val="24"/>
        </w:rPr>
        <w:t>1.报告方式：自动生成药敏报告单；可连接lis 系统。</w:t>
      </w:r>
    </w:p>
    <w:p w14:paraId="12C85650">
      <w:pPr>
        <w:widowControl/>
        <w:jc w:val="left"/>
        <w:rPr>
          <w:rFonts w:hint="eastAsia" w:ascii="宋体" w:hAnsi="宋体" w:cs="宋体"/>
          <w:kern w:val="0"/>
          <w:sz w:val="24"/>
          <w:szCs w:val="24"/>
        </w:rPr>
      </w:pPr>
      <w:r>
        <w:rPr>
          <w:rFonts w:hint="eastAsia" w:ascii="宋体" w:hAnsi="宋体" w:cs="宋体"/>
          <w:kern w:val="0"/>
          <w:sz w:val="24"/>
          <w:szCs w:val="24"/>
        </w:rPr>
        <w:t>2.信息存档：具有数据保存和查询功能。</w:t>
      </w:r>
    </w:p>
    <w:p w14:paraId="4E363496">
      <w:pPr>
        <w:widowControl/>
        <w:jc w:val="left"/>
        <w:rPr>
          <w:rFonts w:hint="eastAsia" w:ascii="宋体" w:hAnsi="宋体" w:cs="宋体"/>
          <w:kern w:val="0"/>
          <w:sz w:val="24"/>
          <w:szCs w:val="24"/>
        </w:rPr>
      </w:pPr>
      <w:r>
        <w:rPr>
          <w:rFonts w:hint="eastAsia" w:ascii="宋体" w:hAnsi="宋体" w:cs="宋体"/>
          <w:kern w:val="0"/>
          <w:sz w:val="24"/>
          <w:szCs w:val="24"/>
        </w:rPr>
        <w:t>3.药敏结果报告单：可根据实验需求进行报告单格式、药物排布和药物种类和浓度修改。</w:t>
      </w:r>
    </w:p>
    <w:p w14:paraId="017A73C7">
      <w:pPr>
        <w:widowControl/>
        <w:jc w:val="left"/>
        <w:rPr>
          <w:rFonts w:hint="eastAsia" w:ascii="宋体" w:hAnsi="宋体" w:cs="宋体"/>
          <w:kern w:val="0"/>
          <w:sz w:val="24"/>
          <w:szCs w:val="24"/>
        </w:rPr>
      </w:pPr>
    </w:p>
    <w:p w14:paraId="0DE8705C">
      <w:pPr>
        <w:widowControl/>
        <w:jc w:val="left"/>
        <w:rPr>
          <w:rFonts w:hint="eastAsia" w:ascii="宋体" w:hAnsi="宋体" w:cs="宋体"/>
          <w:b/>
          <w:bCs/>
          <w:kern w:val="0"/>
          <w:sz w:val="24"/>
          <w:szCs w:val="24"/>
        </w:rPr>
      </w:pPr>
      <w:r>
        <w:rPr>
          <w:rFonts w:hint="eastAsia" w:ascii="宋体" w:hAnsi="宋体" w:cs="宋体"/>
          <w:kern w:val="0"/>
          <w:sz w:val="24"/>
          <w:szCs w:val="24"/>
        </w:rPr>
        <w:t>四</w:t>
      </w:r>
      <w:r>
        <w:rPr>
          <w:rFonts w:hint="eastAsia" w:ascii="宋体" w:hAnsi="宋体" w:cs="宋体"/>
          <w:b/>
          <w:bCs/>
          <w:kern w:val="0"/>
          <w:sz w:val="24"/>
          <w:szCs w:val="24"/>
        </w:rPr>
        <w:t>、结核杆菌药敏96孔板自动样系统</w:t>
      </w:r>
    </w:p>
    <w:p w14:paraId="434A65A1">
      <w:pPr>
        <w:widowControl/>
        <w:jc w:val="left"/>
        <w:rPr>
          <w:rFonts w:hint="eastAsia" w:ascii="宋体" w:hAnsi="宋体" w:cs="宋体"/>
          <w:kern w:val="0"/>
          <w:sz w:val="24"/>
          <w:szCs w:val="24"/>
        </w:rPr>
      </w:pPr>
      <w:r>
        <w:rPr>
          <w:rFonts w:hint="eastAsia" w:ascii="宋体" w:hAnsi="宋体" w:cs="宋体"/>
          <w:kern w:val="0"/>
          <w:sz w:val="24"/>
          <w:szCs w:val="24"/>
        </w:rPr>
        <w:t>1.利用平板软件控制机械臂与加样泵按预设程序完成对待测样品和试剂的移液、分配。</w:t>
      </w:r>
    </w:p>
    <w:p w14:paraId="44048CED">
      <w:pPr>
        <w:widowControl/>
        <w:jc w:val="left"/>
        <w:rPr>
          <w:rFonts w:hint="eastAsia" w:ascii="宋体" w:hAnsi="宋体" w:cs="宋体"/>
          <w:kern w:val="0"/>
          <w:sz w:val="24"/>
          <w:szCs w:val="24"/>
        </w:rPr>
      </w:pPr>
      <w:r>
        <w:rPr>
          <w:rFonts w:hint="eastAsia" w:ascii="宋体" w:hAnsi="宋体" w:cs="宋体"/>
          <w:kern w:val="0"/>
          <w:sz w:val="24"/>
          <w:szCs w:val="24"/>
        </w:rPr>
        <w:t>2.加样位至少可以放置≥2块药敏板。</w:t>
      </w:r>
    </w:p>
    <w:p w14:paraId="63B2DA7D">
      <w:pPr>
        <w:widowControl/>
        <w:jc w:val="left"/>
        <w:rPr>
          <w:rFonts w:ascii="宋体" w:hAnsi="宋体" w:cs="宋体"/>
          <w:kern w:val="0"/>
          <w:sz w:val="24"/>
          <w:szCs w:val="24"/>
        </w:rPr>
      </w:pPr>
      <w:r>
        <w:rPr>
          <w:rFonts w:hint="eastAsia" w:ascii="宋体" w:hAnsi="宋体" w:cs="宋体"/>
          <w:kern w:val="0"/>
          <w:sz w:val="24"/>
          <w:szCs w:val="24"/>
        </w:rPr>
        <w:t>3.控制方式：加样通道XYZ方向可以独立控制。</w:t>
      </w:r>
    </w:p>
    <w:p w14:paraId="0267C90A">
      <w:pPr>
        <w:widowControl/>
        <w:jc w:val="left"/>
        <w:rPr>
          <w:rFonts w:hint="eastAsia" w:ascii="宋体" w:hAnsi="宋体" w:cs="宋体"/>
          <w:kern w:val="0"/>
          <w:sz w:val="24"/>
          <w:szCs w:val="24"/>
        </w:rPr>
      </w:pPr>
      <w:r>
        <w:rPr>
          <w:rFonts w:hint="eastAsia" w:ascii="宋体" w:hAnsi="宋体" w:cs="宋体"/>
          <w:kern w:val="0"/>
          <w:sz w:val="24"/>
          <w:szCs w:val="24"/>
        </w:rPr>
        <w:t>4.支持试剂瓶上机，减少生物安全风险。</w:t>
      </w:r>
    </w:p>
    <w:p w14:paraId="0A5D176B">
      <w:pPr>
        <w:widowControl/>
        <w:jc w:val="left"/>
        <w:rPr>
          <w:rFonts w:hint="eastAsia" w:ascii="宋体" w:hAnsi="宋体" w:cs="宋体"/>
          <w:kern w:val="0"/>
          <w:sz w:val="24"/>
          <w:szCs w:val="24"/>
        </w:rPr>
      </w:pPr>
      <w:r>
        <w:rPr>
          <w:rFonts w:hint="eastAsia" w:ascii="宋体" w:hAnsi="宋体" w:cs="宋体"/>
          <w:kern w:val="0"/>
          <w:sz w:val="24"/>
          <w:szCs w:val="24"/>
        </w:rPr>
        <w:t>5.全中文操作软件，图形化操作界面实时显示仪器平台工作状态。</w:t>
      </w:r>
    </w:p>
    <w:p w14:paraId="207AD0F9">
      <w:pPr>
        <w:widowControl/>
        <w:jc w:val="left"/>
        <w:rPr>
          <w:rFonts w:hint="eastAsia" w:ascii="宋体" w:hAnsi="宋体" w:cs="宋体"/>
          <w:kern w:val="0"/>
          <w:sz w:val="24"/>
          <w:szCs w:val="24"/>
        </w:rPr>
      </w:pPr>
      <w:r>
        <w:rPr>
          <w:rFonts w:hint="eastAsia" w:ascii="宋体" w:hAnsi="宋体" w:cs="宋体"/>
          <w:kern w:val="0"/>
          <w:sz w:val="24"/>
          <w:szCs w:val="24"/>
        </w:rPr>
        <w:t>6.具备运动部件一键初始化复位功能。</w:t>
      </w:r>
    </w:p>
    <w:p w14:paraId="73E1198B">
      <w:pPr>
        <w:widowControl/>
        <w:jc w:val="left"/>
        <w:rPr>
          <w:rFonts w:hint="eastAsia" w:ascii="宋体" w:hAnsi="宋体" w:cs="宋体"/>
          <w:kern w:val="0"/>
          <w:sz w:val="24"/>
          <w:szCs w:val="24"/>
        </w:rPr>
      </w:pPr>
    </w:p>
    <w:p w14:paraId="2DEED9E2">
      <w:pPr>
        <w:widowControl/>
        <w:jc w:val="left"/>
        <w:rPr>
          <w:rFonts w:hint="eastAsia" w:ascii="宋体" w:hAnsi="宋体" w:cs="宋体"/>
          <w:b/>
          <w:bCs/>
          <w:kern w:val="0"/>
          <w:sz w:val="24"/>
          <w:szCs w:val="24"/>
        </w:rPr>
      </w:pPr>
      <w:r>
        <w:rPr>
          <w:rFonts w:hint="eastAsia" w:ascii="宋体" w:hAnsi="宋体" w:cs="宋体"/>
          <w:b/>
          <w:bCs/>
          <w:kern w:val="0"/>
          <w:sz w:val="24"/>
          <w:szCs w:val="24"/>
        </w:rPr>
        <w:t>五、LIS系统微生物无纸化模块</w:t>
      </w:r>
    </w:p>
    <w:p w14:paraId="404FB48D">
      <w:pPr>
        <w:widowControl/>
        <w:jc w:val="left"/>
        <w:rPr>
          <w:rFonts w:hint="eastAsia" w:ascii="宋体" w:hAnsi="宋体" w:cs="宋体"/>
          <w:b/>
          <w:bCs/>
          <w:kern w:val="0"/>
          <w:sz w:val="24"/>
          <w:szCs w:val="24"/>
        </w:rPr>
      </w:pPr>
      <w:r>
        <w:rPr>
          <w:rFonts w:hint="eastAsia" w:ascii="宋体" w:hAnsi="宋体" w:cs="宋体"/>
          <w:b/>
          <w:bCs/>
          <w:kern w:val="0"/>
          <w:sz w:val="24"/>
          <w:szCs w:val="24"/>
        </w:rPr>
        <w:t>1、 标本签收与条码</w:t>
      </w:r>
    </w:p>
    <w:p w14:paraId="24E4BDDA">
      <w:pPr>
        <w:widowControl/>
        <w:jc w:val="left"/>
        <w:rPr>
          <w:rFonts w:hint="eastAsia" w:ascii="宋体" w:hAnsi="宋体" w:cs="宋体"/>
          <w:kern w:val="0"/>
          <w:sz w:val="24"/>
          <w:szCs w:val="24"/>
        </w:rPr>
      </w:pPr>
      <w:r>
        <w:rPr>
          <w:rFonts w:hint="eastAsia" w:ascii="宋体" w:hAnsi="宋体" w:cs="宋体"/>
          <w:kern w:val="0"/>
          <w:sz w:val="24"/>
          <w:szCs w:val="24"/>
        </w:rPr>
        <w:t>1.1支持唯一标本条码，自动生成培养 / 接种标签；</w:t>
      </w:r>
    </w:p>
    <w:p w14:paraId="226B76E8">
      <w:pPr>
        <w:widowControl/>
        <w:jc w:val="left"/>
        <w:rPr>
          <w:rFonts w:hint="eastAsia" w:ascii="宋体" w:hAnsi="宋体" w:cs="宋体"/>
          <w:kern w:val="0"/>
          <w:sz w:val="24"/>
          <w:szCs w:val="24"/>
        </w:rPr>
      </w:pPr>
      <w:r>
        <w:rPr>
          <w:rFonts w:hint="eastAsia" w:ascii="宋体" w:hAnsi="宋体" w:cs="宋体"/>
          <w:kern w:val="0"/>
          <w:sz w:val="24"/>
          <w:szCs w:val="24"/>
        </w:rPr>
        <w:t>1.2按标本类型（血、尿、痰、分泌物等）+ 检验项目自动匹配培养基组合；</w:t>
      </w:r>
    </w:p>
    <w:p w14:paraId="3C363804">
      <w:pPr>
        <w:widowControl/>
        <w:jc w:val="left"/>
        <w:rPr>
          <w:rFonts w:hint="eastAsia" w:ascii="宋体" w:hAnsi="宋体" w:cs="宋体"/>
          <w:kern w:val="0"/>
          <w:sz w:val="24"/>
          <w:szCs w:val="24"/>
        </w:rPr>
      </w:pPr>
      <w:r>
        <w:rPr>
          <w:rFonts w:hint="eastAsia" w:ascii="宋体" w:hAnsi="宋体" w:cs="宋体"/>
          <w:kern w:val="0"/>
          <w:sz w:val="24"/>
          <w:szCs w:val="24"/>
        </w:rPr>
        <w:t>1.3不合格标本在线记录原因、拒收并自动回告临床。</w:t>
      </w:r>
    </w:p>
    <w:p w14:paraId="7D4DFEAF">
      <w:pPr>
        <w:widowControl/>
        <w:jc w:val="left"/>
        <w:rPr>
          <w:rFonts w:hint="eastAsia" w:ascii="宋体" w:hAnsi="宋体" w:cs="宋体"/>
          <w:b/>
          <w:bCs/>
          <w:kern w:val="0"/>
          <w:sz w:val="24"/>
          <w:szCs w:val="24"/>
        </w:rPr>
      </w:pPr>
      <w:r>
        <w:rPr>
          <w:rFonts w:hint="eastAsia" w:ascii="宋体" w:hAnsi="宋体" w:cs="宋体"/>
          <w:b/>
          <w:bCs/>
          <w:kern w:val="0"/>
          <w:sz w:val="24"/>
          <w:szCs w:val="24"/>
        </w:rPr>
        <w:t>2、接种 / 培养（无纸化记录）</w:t>
      </w:r>
    </w:p>
    <w:p w14:paraId="65CFA397">
      <w:pPr>
        <w:widowControl/>
        <w:jc w:val="left"/>
        <w:rPr>
          <w:rFonts w:hint="eastAsia" w:ascii="宋体" w:hAnsi="宋体" w:cs="宋体"/>
          <w:kern w:val="0"/>
          <w:sz w:val="24"/>
          <w:szCs w:val="24"/>
        </w:rPr>
      </w:pPr>
      <w:r>
        <w:rPr>
          <w:rFonts w:hint="eastAsia" w:ascii="宋体" w:hAnsi="宋体" w:cs="宋体"/>
          <w:kern w:val="0"/>
          <w:sz w:val="24"/>
          <w:szCs w:val="24"/>
        </w:rPr>
        <w:t>2.1接种登记：平板类型、接种时间、操作人员、培养温度 / 环境（需氧 / 厌氧 / CO</w:t>
      </w:r>
      <w:r>
        <w:rPr>
          <w:rFonts w:ascii="Cambria Math" w:hAnsi="Cambria Math" w:cs="Cambria Math"/>
          <w:kern w:val="0"/>
          <w:sz w:val="24"/>
          <w:szCs w:val="24"/>
        </w:rPr>
        <w:t>₂</w:t>
      </w:r>
      <w:r>
        <w:rPr>
          <w:rFonts w:hint="eastAsia" w:ascii="宋体" w:hAnsi="宋体" w:cs="宋体"/>
          <w:kern w:val="0"/>
          <w:sz w:val="24"/>
          <w:szCs w:val="24"/>
        </w:rPr>
        <w:t>）；</w:t>
      </w:r>
    </w:p>
    <w:p w14:paraId="479492E9">
      <w:pPr>
        <w:widowControl/>
        <w:jc w:val="left"/>
        <w:rPr>
          <w:rFonts w:hint="eastAsia" w:ascii="宋体" w:hAnsi="宋体" w:cs="宋体"/>
          <w:kern w:val="0"/>
          <w:sz w:val="24"/>
          <w:szCs w:val="24"/>
        </w:rPr>
      </w:pPr>
      <w:r>
        <w:rPr>
          <w:rFonts w:hint="eastAsia" w:ascii="宋体" w:hAnsi="宋体" w:cs="宋体"/>
          <w:kern w:val="0"/>
          <w:sz w:val="24"/>
          <w:szCs w:val="24"/>
        </w:rPr>
        <w:t>2.2培养观察：24h/48h 节点在线记录，支持菌落形态下拉模板（大小、颜色、溶血、边缘、凸起）；</w:t>
      </w:r>
    </w:p>
    <w:p w14:paraId="17BC5710">
      <w:pPr>
        <w:widowControl/>
        <w:jc w:val="left"/>
        <w:rPr>
          <w:rFonts w:hint="eastAsia" w:ascii="宋体" w:hAnsi="宋体" w:cs="宋体"/>
          <w:kern w:val="0"/>
          <w:sz w:val="24"/>
          <w:szCs w:val="24"/>
        </w:rPr>
      </w:pPr>
      <w:r>
        <w:rPr>
          <w:rFonts w:hint="eastAsia" w:ascii="宋体" w:hAnsi="宋体" w:cs="宋体"/>
          <w:kern w:val="0"/>
          <w:sz w:val="24"/>
          <w:szCs w:val="24"/>
        </w:rPr>
        <w:t>2.3关键节点支持拍照存档（菌落、涂片镜检视野），图片与标本绑定可追溯。</w:t>
      </w:r>
    </w:p>
    <w:p w14:paraId="04A63C13">
      <w:pPr>
        <w:widowControl/>
        <w:jc w:val="left"/>
        <w:rPr>
          <w:rFonts w:hint="eastAsia" w:ascii="宋体" w:hAnsi="宋体" w:cs="宋体"/>
          <w:b/>
          <w:bCs/>
          <w:kern w:val="0"/>
          <w:sz w:val="24"/>
          <w:szCs w:val="24"/>
        </w:rPr>
      </w:pPr>
      <w:r>
        <w:rPr>
          <w:rFonts w:hint="eastAsia" w:ascii="宋体" w:hAnsi="宋体" w:cs="宋体"/>
          <w:b/>
          <w:bCs/>
          <w:kern w:val="0"/>
          <w:sz w:val="24"/>
          <w:szCs w:val="24"/>
        </w:rPr>
        <w:t>3、涂片与形态学（镜检无纸化）</w:t>
      </w:r>
    </w:p>
    <w:p w14:paraId="64F882D0">
      <w:pPr>
        <w:widowControl/>
        <w:jc w:val="left"/>
        <w:rPr>
          <w:rFonts w:hint="eastAsia" w:ascii="宋体" w:hAnsi="宋体" w:cs="宋体"/>
          <w:kern w:val="0"/>
          <w:sz w:val="24"/>
          <w:szCs w:val="24"/>
        </w:rPr>
      </w:pPr>
      <w:r>
        <w:rPr>
          <w:rFonts w:hint="eastAsia" w:ascii="宋体" w:hAnsi="宋体" w:cs="宋体"/>
          <w:kern w:val="0"/>
          <w:sz w:val="24"/>
          <w:szCs w:val="24"/>
        </w:rPr>
        <w:t>3.1直接涂片：革兰氏 / 抗酸染色结果在线录入（+/-/++/+++），关联显微镜（如奥林巴斯 CX23）成像拍照；</w:t>
      </w:r>
    </w:p>
    <w:p w14:paraId="1F044376">
      <w:pPr>
        <w:widowControl/>
        <w:jc w:val="left"/>
        <w:rPr>
          <w:rFonts w:hint="eastAsia" w:ascii="宋体" w:hAnsi="宋体" w:cs="宋体"/>
          <w:kern w:val="0"/>
          <w:sz w:val="24"/>
          <w:szCs w:val="24"/>
        </w:rPr>
      </w:pPr>
      <w:r>
        <w:rPr>
          <w:rFonts w:hint="eastAsia" w:ascii="宋体" w:hAnsi="宋体" w:cs="宋体"/>
          <w:kern w:val="0"/>
          <w:sz w:val="24"/>
          <w:szCs w:val="24"/>
        </w:rPr>
        <w:t>3.2形态描述：内置标准化术语库，支持快速下拉选择，减少手工录入。</w:t>
      </w:r>
    </w:p>
    <w:p w14:paraId="2F366E4C">
      <w:pPr>
        <w:widowControl/>
        <w:jc w:val="left"/>
        <w:rPr>
          <w:rFonts w:hint="eastAsia" w:ascii="宋体" w:hAnsi="宋体" w:cs="宋体"/>
          <w:b/>
          <w:bCs/>
          <w:kern w:val="0"/>
          <w:sz w:val="24"/>
          <w:szCs w:val="24"/>
        </w:rPr>
      </w:pPr>
      <w:r>
        <w:rPr>
          <w:rFonts w:hint="eastAsia" w:ascii="宋体" w:hAnsi="宋体" w:cs="宋体"/>
          <w:b/>
          <w:bCs/>
          <w:kern w:val="0"/>
          <w:sz w:val="24"/>
          <w:szCs w:val="24"/>
        </w:rPr>
        <w:t>4、鉴定与药敏（仪器对接 + 手工双模式）</w:t>
      </w:r>
    </w:p>
    <w:p w14:paraId="25594B5E">
      <w:pPr>
        <w:widowControl/>
        <w:jc w:val="left"/>
        <w:rPr>
          <w:rFonts w:hint="eastAsia" w:ascii="宋体" w:hAnsi="宋体" w:cs="宋体"/>
          <w:kern w:val="0"/>
          <w:sz w:val="24"/>
          <w:szCs w:val="24"/>
        </w:rPr>
      </w:pPr>
      <w:r>
        <w:rPr>
          <w:rFonts w:hint="eastAsia" w:ascii="宋体" w:hAnsi="宋体" w:cs="宋体"/>
          <w:kern w:val="0"/>
          <w:sz w:val="24"/>
          <w:szCs w:val="24"/>
        </w:rPr>
        <w:t>4.1仪器联机：兼容主流微生物鉴定 / 药敏仪（如 VITEK、Phoenix、MicroScan），双向自动采集鉴定 + 药敏结果；</w:t>
      </w:r>
    </w:p>
    <w:p w14:paraId="76B049EA">
      <w:pPr>
        <w:widowControl/>
        <w:jc w:val="left"/>
        <w:rPr>
          <w:rFonts w:hint="eastAsia" w:ascii="宋体" w:hAnsi="宋体" w:cs="宋体"/>
          <w:kern w:val="0"/>
          <w:sz w:val="24"/>
          <w:szCs w:val="24"/>
        </w:rPr>
      </w:pPr>
      <w:r>
        <w:rPr>
          <w:rFonts w:hint="eastAsia" w:ascii="宋体" w:hAnsi="宋体" w:cs="宋体"/>
          <w:kern w:val="0"/>
          <w:sz w:val="24"/>
          <w:szCs w:val="24"/>
        </w:rPr>
        <w:t>4.2手工药敏：输入抑菌圈直径（mm）或 MIC 值，系统按 CLSI/EUCAST 规则自动判读 S/I/R；</w:t>
      </w:r>
    </w:p>
    <w:p w14:paraId="48EBF521">
      <w:pPr>
        <w:widowControl/>
        <w:jc w:val="left"/>
        <w:rPr>
          <w:rFonts w:hint="eastAsia" w:ascii="宋体" w:hAnsi="宋体" w:cs="宋体"/>
          <w:kern w:val="0"/>
          <w:sz w:val="24"/>
          <w:szCs w:val="24"/>
        </w:rPr>
      </w:pPr>
      <w:r>
        <w:rPr>
          <w:rFonts w:hint="eastAsia" w:ascii="宋体" w:hAnsi="宋体" w:cs="宋体"/>
          <w:kern w:val="0"/>
          <w:sz w:val="24"/>
          <w:szCs w:val="24"/>
        </w:rPr>
        <w:t>4.3细菌 / 抗生素字典：内置 ≥5000 种病原菌≥300 种抗菌药物，支持中文 / 拉丁学名、分类、耐药机制维护；</w:t>
      </w:r>
    </w:p>
    <w:p w14:paraId="76F92ECD">
      <w:pPr>
        <w:widowControl/>
        <w:jc w:val="left"/>
        <w:rPr>
          <w:rFonts w:hint="eastAsia" w:ascii="宋体" w:hAnsi="宋体" w:cs="宋体"/>
          <w:kern w:val="0"/>
          <w:sz w:val="24"/>
          <w:szCs w:val="24"/>
        </w:rPr>
      </w:pPr>
      <w:r>
        <w:rPr>
          <w:rFonts w:hint="eastAsia" w:ascii="宋体" w:hAnsi="宋体" w:cs="宋体"/>
          <w:kern w:val="0"/>
          <w:sz w:val="24"/>
          <w:szCs w:val="24"/>
        </w:rPr>
        <w:t>4.4多重耐药（MDRO）：内置规则库（如 MRSA、CRE、VRE），符合条件自动提示并上报院感。</w:t>
      </w:r>
    </w:p>
    <w:p w14:paraId="041E8614">
      <w:pPr>
        <w:widowControl/>
        <w:jc w:val="left"/>
        <w:rPr>
          <w:rFonts w:hint="eastAsia" w:ascii="宋体" w:hAnsi="宋体" w:cs="宋体"/>
          <w:b/>
          <w:bCs/>
          <w:kern w:val="0"/>
          <w:sz w:val="24"/>
          <w:szCs w:val="24"/>
        </w:rPr>
      </w:pPr>
      <w:r>
        <w:rPr>
          <w:rFonts w:hint="eastAsia" w:ascii="宋体" w:hAnsi="宋体" w:cs="宋体"/>
          <w:b/>
          <w:bCs/>
          <w:kern w:val="0"/>
          <w:sz w:val="24"/>
          <w:szCs w:val="24"/>
        </w:rPr>
        <w:t>5、流程单与报告（全程无纸化）</w:t>
      </w:r>
    </w:p>
    <w:p w14:paraId="4B4DAFE3">
      <w:pPr>
        <w:widowControl/>
        <w:jc w:val="left"/>
        <w:rPr>
          <w:rFonts w:hint="eastAsia" w:ascii="宋体" w:hAnsi="宋体" w:cs="宋体"/>
          <w:kern w:val="0"/>
          <w:sz w:val="24"/>
          <w:szCs w:val="24"/>
        </w:rPr>
      </w:pPr>
      <w:r>
        <w:rPr>
          <w:rFonts w:hint="eastAsia" w:ascii="宋体" w:hAnsi="宋体" w:cs="宋体"/>
          <w:kern w:val="0"/>
          <w:sz w:val="24"/>
          <w:szCs w:val="24"/>
        </w:rPr>
        <w:t>5.1电子流程单：替代纸质培养 / 鉴定 / 药敏记录单，全流程在线流转、查阅、打印；</w:t>
      </w:r>
    </w:p>
    <w:p w14:paraId="75168DCD">
      <w:pPr>
        <w:widowControl/>
        <w:jc w:val="left"/>
        <w:rPr>
          <w:rFonts w:hint="eastAsia" w:ascii="宋体" w:hAnsi="宋体" w:cs="宋体"/>
          <w:kern w:val="0"/>
          <w:sz w:val="24"/>
          <w:szCs w:val="24"/>
        </w:rPr>
      </w:pPr>
      <w:r>
        <w:rPr>
          <w:rFonts w:hint="eastAsia" w:ascii="宋体" w:hAnsi="宋体" w:cs="宋体"/>
          <w:kern w:val="0"/>
          <w:sz w:val="24"/>
          <w:szCs w:val="24"/>
        </w:rPr>
        <w:t>5.2中期报告：血培养阳性、培养 24h 结果可快速预报告；</w:t>
      </w:r>
    </w:p>
    <w:p w14:paraId="03F3B377">
      <w:pPr>
        <w:widowControl/>
        <w:jc w:val="left"/>
        <w:rPr>
          <w:rFonts w:hint="eastAsia" w:ascii="宋体" w:hAnsi="宋体" w:cs="宋体"/>
          <w:kern w:val="0"/>
          <w:sz w:val="24"/>
          <w:szCs w:val="24"/>
        </w:rPr>
      </w:pPr>
      <w:r>
        <w:rPr>
          <w:rFonts w:hint="eastAsia" w:ascii="宋体" w:hAnsi="宋体" w:cs="宋体"/>
          <w:kern w:val="0"/>
          <w:sz w:val="24"/>
          <w:szCs w:val="24"/>
        </w:rPr>
        <w:t>5.3正式报告：中文报告模板，支持细菌 + 药敏组合显示，自动关联患者信息、历史结果；</w:t>
      </w:r>
    </w:p>
    <w:p w14:paraId="4CA78A39">
      <w:pPr>
        <w:widowControl/>
        <w:jc w:val="left"/>
        <w:rPr>
          <w:rFonts w:hint="eastAsia" w:ascii="宋体" w:hAnsi="宋体" w:cs="宋体"/>
          <w:kern w:val="0"/>
          <w:sz w:val="24"/>
          <w:szCs w:val="24"/>
        </w:rPr>
      </w:pPr>
      <w:r>
        <w:rPr>
          <w:rFonts w:hint="eastAsia" w:ascii="宋体" w:hAnsi="宋体" w:cs="宋体"/>
          <w:kern w:val="0"/>
          <w:sz w:val="24"/>
          <w:szCs w:val="24"/>
        </w:rPr>
        <w:t>5.4审核机制：三级审核（初级 / 中级 / 主任），审核痕迹可追溯。</w:t>
      </w:r>
    </w:p>
    <w:p w14:paraId="2F29652E">
      <w:pPr>
        <w:widowControl/>
        <w:jc w:val="left"/>
        <w:rPr>
          <w:rFonts w:hint="eastAsia" w:ascii="宋体" w:hAnsi="宋体" w:cs="宋体"/>
          <w:b/>
          <w:bCs/>
          <w:kern w:val="0"/>
          <w:sz w:val="24"/>
          <w:szCs w:val="24"/>
        </w:rPr>
      </w:pPr>
      <w:r>
        <w:rPr>
          <w:rFonts w:hint="eastAsia" w:ascii="宋体" w:hAnsi="宋体" w:cs="宋体"/>
          <w:b/>
          <w:bCs/>
          <w:kern w:val="0"/>
          <w:sz w:val="24"/>
          <w:szCs w:val="24"/>
        </w:rPr>
        <w:t>6、质控与合规（满足 ISO15189）</w:t>
      </w:r>
    </w:p>
    <w:p w14:paraId="50E7E8E2">
      <w:pPr>
        <w:widowControl/>
        <w:jc w:val="left"/>
        <w:rPr>
          <w:rFonts w:hint="eastAsia" w:ascii="宋体" w:hAnsi="宋体" w:cs="宋体"/>
          <w:kern w:val="0"/>
          <w:sz w:val="24"/>
          <w:szCs w:val="24"/>
        </w:rPr>
      </w:pPr>
      <w:r>
        <w:rPr>
          <w:rFonts w:hint="eastAsia" w:ascii="宋体" w:hAnsi="宋体" w:cs="宋体"/>
          <w:kern w:val="0"/>
          <w:sz w:val="24"/>
          <w:szCs w:val="24"/>
        </w:rPr>
        <w:t>6.1药敏质控：内置 CLSI 质控菌株（如 ATCC25922、ATCC27853），自动生成质控图、失控预警；</w:t>
      </w:r>
    </w:p>
    <w:p w14:paraId="727061ED">
      <w:pPr>
        <w:widowControl/>
        <w:jc w:val="left"/>
        <w:rPr>
          <w:rFonts w:hint="eastAsia" w:ascii="宋体" w:hAnsi="宋体" w:cs="宋体"/>
          <w:kern w:val="0"/>
          <w:sz w:val="24"/>
          <w:szCs w:val="24"/>
        </w:rPr>
      </w:pPr>
      <w:r>
        <w:rPr>
          <w:rFonts w:hint="eastAsia" w:ascii="宋体" w:hAnsi="宋体" w:cs="宋体"/>
          <w:kern w:val="0"/>
          <w:sz w:val="24"/>
          <w:szCs w:val="24"/>
        </w:rPr>
        <w:t>6.2记录追溯：全节点日志（操作人、时间、修改记录），数据不可篡改，满足审计要求。</w:t>
      </w:r>
    </w:p>
    <w:p w14:paraId="4C621BBB">
      <w:pPr>
        <w:widowControl/>
        <w:jc w:val="left"/>
        <w:rPr>
          <w:rFonts w:hint="eastAsia" w:ascii="宋体" w:hAnsi="宋体" w:cs="宋体"/>
          <w:kern w:val="0"/>
          <w:sz w:val="24"/>
          <w:szCs w:val="24"/>
        </w:rPr>
      </w:pPr>
    </w:p>
    <w:p w14:paraId="037D655F">
      <w:pPr>
        <w:widowControl/>
        <w:jc w:val="left"/>
        <w:rPr>
          <w:rFonts w:hint="eastAsia" w:ascii="宋体" w:hAnsi="宋体" w:cs="宋体"/>
          <w:b/>
          <w:bCs/>
          <w:kern w:val="0"/>
          <w:sz w:val="24"/>
          <w:szCs w:val="24"/>
        </w:rPr>
      </w:pPr>
      <w:r>
        <w:rPr>
          <w:rFonts w:hint="eastAsia" w:ascii="宋体" w:hAnsi="宋体" w:cs="宋体"/>
          <w:b/>
          <w:bCs/>
          <w:kern w:val="0"/>
          <w:sz w:val="24"/>
          <w:szCs w:val="24"/>
        </w:rPr>
        <w:t>六、高速离心机</w:t>
      </w:r>
    </w:p>
    <w:p w14:paraId="00BC6F67">
      <w:pPr>
        <w:widowControl/>
        <w:jc w:val="left"/>
        <w:rPr>
          <w:rFonts w:hint="eastAsia" w:ascii="宋体" w:hAnsi="宋体" w:cs="宋体"/>
          <w:kern w:val="0"/>
          <w:sz w:val="24"/>
          <w:szCs w:val="24"/>
        </w:rPr>
      </w:pPr>
      <w:r>
        <w:rPr>
          <w:rFonts w:hint="eastAsia" w:ascii="宋体" w:hAnsi="宋体" w:cs="宋体"/>
          <w:kern w:val="0"/>
          <w:sz w:val="24"/>
          <w:szCs w:val="24"/>
        </w:rPr>
        <w:t>1.抗震级、电动自吸式门锁，遇到异常震动门盖无法打开。</w:t>
      </w:r>
    </w:p>
    <w:p w14:paraId="0DD015D1">
      <w:pPr>
        <w:widowControl/>
        <w:jc w:val="left"/>
        <w:rPr>
          <w:rFonts w:hint="eastAsia" w:ascii="宋体" w:hAnsi="宋体" w:cs="宋体"/>
          <w:kern w:val="0"/>
          <w:sz w:val="24"/>
          <w:szCs w:val="24"/>
        </w:rPr>
      </w:pPr>
      <w:r>
        <w:rPr>
          <w:rFonts w:hint="eastAsia" w:ascii="宋体" w:hAnsi="宋体" w:cs="宋体"/>
          <w:kern w:val="0"/>
          <w:sz w:val="24"/>
          <w:szCs w:val="24"/>
        </w:rPr>
        <w:t>2.微机控制，高清LCD液晶屏显示，薄膜轻触按键或触摸屏操作。</w:t>
      </w:r>
    </w:p>
    <w:p w14:paraId="51C6C60A">
      <w:pPr>
        <w:widowControl/>
        <w:jc w:val="left"/>
        <w:rPr>
          <w:rFonts w:hint="eastAsia" w:ascii="宋体" w:hAnsi="宋体" w:cs="宋体"/>
          <w:kern w:val="0"/>
          <w:sz w:val="24"/>
          <w:szCs w:val="24"/>
        </w:rPr>
      </w:pPr>
      <w:r>
        <w:rPr>
          <w:rFonts w:hint="eastAsia" w:ascii="宋体" w:hAnsi="宋体" w:cs="宋体"/>
          <w:kern w:val="0"/>
          <w:sz w:val="24"/>
          <w:szCs w:val="24"/>
        </w:rPr>
        <w:t>3.具有超速报警、门锁故障、开盖停机保护、样本不平衡保护、通讯故障报警及多项保护功能，故障信息中文显示。</w:t>
      </w:r>
    </w:p>
    <w:p w14:paraId="2681F182">
      <w:pPr>
        <w:widowControl/>
        <w:jc w:val="left"/>
        <w:rPr>
          <w:rFonts w:hint="eastAsia" w:ascii="宋体" w:hAnsi="宋体" w:cs="宋体"/>
          <w:kern w:val="0"/>
          <w:sz w:val="24"/>
          <w:szCs w:val="24"/>
        </w:rPr>
      </w:pPr>
      <w:r>
        <w:rPr>
          <w:rFonts w:hint="eastAsia" w:ascii="宋体" w:hAnsi="宋体" w:cs="宋体"/>
          <w:kern w:val="0"/>
          <w:sz w:val="24"/>
          <w:szCs w:val="24"/>
        </w:rPr>
        <w:t>4.≥10档加/减速曲线可调，支持自由停机模式，采用变频电机驱动技术，运行平稳；可自定义编辑设置≥5组运行参数，支持多步程序编程。</w:t>
      </w:r>
    </w:p>
    <w:p w14:paraId="78AB9082">
      <w:pPr>
        <w:widowControl/>
        <w:jc w:val="left"/>
        <w:rPr>
          <w:rFonts w:hint="eastAsia" w:ascii="宋体" w:hAnsi="宋体" w:cs="宋体"/>
          <w:kern w:val="0"/>
          <w:sz w:val="24"/>
          <w:szCs w:val="24"/>
        </w:rPr>
      </w:pPr>
      <w:r>
        <w:rPr>
          <w:rFonts w:hint="eastAsia" w:ascii="宋体" w:hAnsi="宋体" w:cs="宋体"/>
          <w:kern w:val="0"/>
          <w:sz w:val="24"/>
          <w:szCs w:val="24"/>
        </w:rPr>
        <w:t>5.可储存≥20组离心程序，支持快捷调用功能。</w:t>
      </w:r>
    </w:p>
    <w:p w14:paraId="1B45CD26">
      <w:pPr>
        <w:widowControl/>
        <w:jc w:val="left"/>
        <w:rPr>
          <w:rFonts w:hint="eastAsia" w:ascii="宋体" w:hAnsi="宋体" w:cs="宋体"/>
          <w:kern w:val="0"/>
          <w:sz w:val="24"/>
          <w:szCs w:val="24"/>
        </w:rPr>
      </w:pPr>
      <w:r>
        <w:rPr>
          <w:rFonts w:hint="eastAsia" w:ascii="宋体" w:hAnsi="宋体" w:cs="宋体"/>
          <w:kern w:val="0"/>
          <w:sz w:val="24"/>
          <w:szCs w:val="24"/>
        </w:rPr>
        <w:t>6.最高转速≥6000r/min</w:t>
      </w:r>
    </w:p>
    <w:p w14:paraId="0338C2FB">
      <w:pPr>
        <w:widowControl/>
        <w:jc w:val="left"/>
        <w:rPr>
          <w:rFonts w:hint="eastAsia" w:ascii="宋体" w:hAnsi="宋体" w:cs="宋体"/>
          <w:kern w:val="0"/>
          <w:sz w:val="24"/>
          <w:szCs w:val="24"/>
        </w:rPr>
      </w:pPr>
      <w:r>
        <w:rPr>
          <w:rFonts w:hint="eastAsia" w:ascii="宋体" w:hAnsi="宋体" w:cs="宋体"/>
          <w:kern w:val="0"/>
          <w:sz w:val="24"/>
          <w:szCs w:val="24"/>
        </w:rPr>
        <w:t>7.转速偏差</w:t>
      </w:r>
      <w:r>
        <w:rPr>
          <w:rFonts w:hint="eastAsia" w:ascii="宋体" w:hAnsi="宋体" w:cs="宋体"/>
          <w:kern w:val="0"/>
          <w:sz w:val="24"/>
          <w:szCs w:val="24"/>
        </w:rPr>
        <w:tab/>
      </w:r>
      <w:r>
        <w:rPr>
          <w:rFonts w:hint="eastAsia" w:ascii="宋体" w:hAnsi="宋体" w:cs="宋体"/>
          <w:kern w:val="0"/>
          <w:sz w:val="24"/>
          <w:szCs w:val="24"/>
        </w:rPr>
        <w:t>±10rpm</w:t>
      </w:r>
    </w:p>
    <w:p w14:paraId="38B6CAE3">
      <w:pPr>
        <w:widowControl/>
        <w:jc w:val="left"/>
        <w:rPr>
          <w:rFonts w:hint="eastAsia" w:ascii="宋体" w:hAnsi="宋体" w:cs="宋体"/>
          <w:kern w:val="0"/>
          <w:sz w:val="24"/>
          <w:szCs w:val="24"/>
        </w:rPr>
      </w:pPr>
      <w:r>
        <w:rPr>
          <w:rFonts w:hint="eastAsia" w:ascii="宋体" w:hAnsi="宋体" w:cs="宋体"/>
          <w:kern w:val="0"/>
          <w:sz w:val="24"/>
          <w:szCs w:val="24"/>
        </w:rPr>
        <w:t>8.最大相对离心力</w:t>
      </w:r>
      <w:r>
        <w:rPr>
          <w:rFonts w:hint="eastAsia" w:ascii="宋体" w:hAnsi="宋体" w:cs="宋体"/>
          <w:kern w:val="0"/>
          <w:sz w:val="24"/>
          <w:szCs w:val="24"/>
        </w:rPr>
        <w:tab/>
      </w:r>
      <w:r>
        <w:rPr>
          <w:rFonts w:hint="eastAsia" w:ascii="宋体" w:hAnsi="宋体" w:cs="宋体"/>
          <w:kern w:val="0"/>
          <w:sz w:val="24"/>
          <w:szCs w:val="24"/>
        </w:rPr>
        <w:t>≥5400×g</w:t>
      </w:r>
    </w:p>
    <w:p w14:paraId="3D9573FE">
      <w:pPr>
        <w:widowControl/>
        <w:jc w:val="left"/>
        <w:rPr>
          <w:rFonts w:hint="eastAsia" w:ascii="宋体" w:hAnsi="宋体" w:cs="宋体"/>
          <w:kern w:val="0"/>
          <w:sz w:val="24"/>
          <w:szCs w:val="24"/>
        </w:rPr>
      </w:pPr>
      <w:r>
        <w:rPr>
          <w:rFonts w:hint="eastAsia" w:ascii="宋体" w:hAnsi="宋体" w:cs="宋体"/>
          <w:kern w:val="0"/>
          <w:sz w:val="24"/>
          <w:szCs w:val="24"/>
        </w:rPr>
        <w:t>9.最大容量：角度转子：15ml×12支；水平转子：500ml×4支（配3/5ml采血管适配器100支）。</w:t>
      </w:r>
    </w:p>
    <w:p w14:paraId="46BA242A">
      <w:pPr>
        <w:widowControl/>
        <w:jc w:val="left"/>
        <w:rPr>
          <w:rFonts w:hint="eastAsia" w:ascii="宋体" w:hAnsi="宋体" w:cs="宋体"/>
          <w:kern w:val="0"/>
          <w:sz w:val="24"/>
          <w:szCs w:val="24"/>
        </w:rPr>
      </w:pPr>
      <w:r>
        <w:rPr>
          <w:rFonts w:hint="eastAsia" w:ascii="宋体" w:hAnsi="宋体" w:cs="宋体"/>
          <w:kern w:val="0"/>
          <w:sz w:val="24"/>
          <w:szCs w:val="24"/>
        </w:rPr>
        <w:t>10.定时范围：1～99min59s</w:t>
      </w:r>
    </w:p>
    <w:p w14:paraId="615B86C9">
      <w:pPr>
        <w:widowControl/>
        <w:jc w:val="left"/>
        <w:rPr>
          <w:rFonts w:hint="eastAsia" w:ascii="宋体" w:hAnsi="宋体" w:cs="宋体"/>
          <w:kern w:val="0"/>
          <w:sz w:val="24"/>
          <w:szCs w:val="24"/>
        </w:rPr>
      </w:pPr>
      <w:r>
        <w:rPr>
          <w:rFonts w:hint="eastAsia" w:ascii="宋体" w:hAnsi="宋体" w:cs="宋体"/>
          <w:kern w:val="0"/>
          <w:sz w:val="24"/>
          <w:szCs w:val="24"/>
        </w:rPr>
        <w:t>11.外型尺寸：宽≤65cm，深≤50cm，高≤45cm</w:t>
      </w:r>
    </w:p>
    <w:p w14:paraId="72F8EB36">
      <w:pPr>
        <w:widowControl/>
        <w:jc w:val="left"/>
        <w:rPr>
          <w:rFonts w:hint="eastAsia" w:ascii="宋体" w:hAnsi="宋体" w:cs="宋体"/>
          <w:kern w:val="0"/>
          <w:sz w:val="24"/>
          <w:szCs w:val="24"/>
        </w:rPr>
      </w:pPr>
      <w:r>
        <w:rPr>
          <w:rFonts w:hint="eastAsia" w:ascii="宋体" w:hAnsi="宋体" w:cs="宋体"/>
          <w:kern w:val="0"/>
          <w:sz w:val="24"/>
          <w:szCs w:val="24"/>
        </w:rPr>
        <w:t>12.设备配置要求：</w:t>
      </w:r>
    </w:p>
    <w:tbl>
      <w:tblPr>
        <w:tblStyle w:val="3"/>
        <w:tblW w:w="9478"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692"/>
        <w:gridCol w:w="2726"/>
        <w:gridCol w:w="690"/>
        <w:gridCol w:w="660"/>
        <w:gridCol w:w="4710"/>
      </w:tblGrid>
      <w:tr w14:paraId="4FCCAA78">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98" w:hRule="atLeas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14:paraId="4CD91465">
            <w:pPr>
              <w:jc w:val="left"/>
              <w:rPr>
                <w:rFonts w:hint="eastAsia" w:ascii="宋体" w:hAnsi="宋体" w:cs="宋体"/>
                <w:b/>
                <w:bCs/>
                <w:sz w:val="22"/>
                <w:szCs w:val="22"/>
              </w:rPr>
            </w:pPr>
            <w:r>
              <w:rPr>
                <w:rFonts w:hint="eastAsia" w:ascii="宋体" w:hAnsi="宋体" w:cs="宋体"/>
                <w:b/>
                <w:bCs/>
                <w:sz w:val="22"/>
                <w:szCs w:val="22"/>
              </w:rPr>
              <w:t>序号</w:t>
            </w:r>
          </w:p>
        </w:tc>
        <w:tc>
          <w:tcPr>
            <w:tcW w:w="2726" w:type="dxa"/>
            <w:tcBorders>
              <w:top w:val="single" w:color="auto" w:sz="4" w:space="0"/>
              <w:left w:val="single" w:color="auto" w:sz="4" w:space="0"/>
              <w:bottom w:val="single" w:color="auto" w:sz="4" w:space="0"/>
              <w:right w:val="single" w:color="auto" w:sz="4" w:space="0"/>
            </w:tcBorders>
            <w:noWrap w:val="0"/>
            <w:vAlign w:val="center"/>
          </w:tcPr>
          <w:p w14:paraId="7A00C118">
            <w:pPr>
              <w:jc w:val="left"/>
              <w:rPr>
                <w:rFonts w:hint="eastAsia" w:ascii="宋体" w:hAnsi="宋体" w:cs="宋体"/>
                <w:b/>
                <w:bCs/>
                <w:sz w:val="22"/>
                <w:szCs w:val="22"/>
              </w:rPr>
            </w:pPr>
            <w:r>
              <w:rPr>
                <w:rFonts w:hint="eastAsia" w:ascii="宋体" w:hAnsi="宋体" w:cs="宋体"/>
                <w:b/>
                <w:bCs/>
                <w:sz w:val="22"/>
                <w:szCs w:val="22"/>
              </w:rPr>
              <w:t>名称</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18B9C0C1">
            <w:pPr>
              <w:jc w:val="left"/>
              <w:rPr>
                <w:rFonts w:hint="eastAsia" w:ascii="宋体" w:hAnsi="宋体" w:cs="宋体"/>
                <w:b/>
                <w:bCs/>
                <w:sz w:val="22"/>
                <w:szCs w:val="22"/>
              </w:rPr>
            </w:pPr>
            <w:r>
              <w:rPr>
                <w:rFonts w:hint="eastAsia" w:ascii="宋体" w:hAnsi="宋体" w:cs="宋体"/>
                <w:b/>
                <w:bCs/>
                <w:sz w:val="22"/>
                <w:szCs w:val="22"/>
              </w:rPr>
              <w:t>数量</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46F7E286">
            <w:pPr>
              <w:jc w:val="left"/>
              <w:rPr>
                <w:rFonts w:hint="eastAsia" w:ascii="宋体" w:hAnsi="宋体" w:cs="宋体"/>
                <w:b/>
                <w:bCs/>
                <w:sz w:val="22"/>
                <w:szCs w:val="22"/>
              </w:rPr>
            </w:pPr>
            <w:r>
              <w:rPr>
                <w:rFonts w:hint="eastAsia" w:ascii="宋体" w:hAnsi="宋体" w:cs="宋体"/>
                <w:b/>
                <w:bCs/>
                <w:sz w:val="22"/>
                <w:szCs w:val="22"/>
              </w:rPr>
              <w:t>单位</w:t>
            </w:r>
          </w:p>
        </w:tc>
        <w:tc>
          <w:tcPr>
            <w:tcW w:w="4710" w:type="dxa"/>
            <w:tcBorders>
              <w:top w:val="single" w:color="auto" w:sz="4" w:space="0"/>
              <w:left w:val="single" w:color="auto" w:sz="4" w:space="0"/>
              <w:bottom w:val="single" w:color="auto" w:sz="4" w:space="0"/>
              <w:right w:val="single" w:color="auto" w:sz="4" w:space="0"/>
            </w:tcBorders>
            <w:noWrap w:val="0"/>
            <w:vAlign w:val="center"/>
          </w:tcPr>
          <w:p w14:paraId="252BF66C">
            <w:pPr>
              <w:jc w:val="left"/>
              <w:rPr>
                <w:rFonts w:ascii="宋体" w:hAnsi="宋体" w:cs="宋体"/>
                <w:b/>
                <w:bCs/>
                <w:sz w:val="22"/>
                <w:szCs w:val="22"/>
              </w:rPr>
            </w:pPr>
            <w:r>
              <w:rPr>
                <w:rFonts w:hint="eastAsia" w:ascii="宋体" w:hAnsi="宋体" w:cs="宋体"/>
                <w:b/>
                <w:bCs/>
                <w:sz w:val="22"/>
                <w:szCs w:val="22"/>
              </w:rPr>
              <w:t>备注</w:t>
            </w:r>
          </w:p>
        </w:tc>
      </w:tr>
      <w:tr w14:paraId="66F89CF6">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18" w:hRule="atLeas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14:paraId="057007B1">
            <w:pPr>
              <w:numPr>
                <w:ilvl w:val="0"/>
                <w:numId w:val="1"/>
              </w:numPr>
              <w:jc w:val="left"/>
              <w:rPr>
                <w:rFonts w:hint="eastAsia" w:ascii="宋体" w:hAnsi="宋体" w:cs="宋体"/>
                <w:sz w:val="22"/>
                <w:szCs w:val="22"/>
              </w:rPr>
            </w:pPr>
          </w:p>
        </w:tc>
        <w:tc>
          <w:tcPr>
            <w:tcW w:w="2726" w:type="dxa"/>
            <w:tcBorders>
              <w:top w:val="single" w:color="auto" w:sz="4" w:space="0"/>
              <w:left w:val="single" w:color="auto" w:sz="4" w:space="0"/>
              <w:bottom w:val="single" w:color="auto" w:sz="4" w:space="0"/>
              <w:right w:val="single" w:color="auto" w:sz="4" w:space="0"/>
            </w:tcBorders>
            <w:noWrap w:val="0"/>
            <w:vAlign w:val="center"/>
          </w:tcPr>
          <w:p w14:paraId="345DAE2D">
            <w:pPr>
              <w:jc w:val="left"/>
              <w:rPr>
                <w:rFonts w:ascii="宋体" w:hAnsi="宋体" w:cs="宋体"/>
                <w:sz w:val="22"/>
                <w:szCs w:val="22"/>
              </w:rPr>
            </w:pPr>
            <w:r>
              <w:rPr>
                <w:rFonts w:hint="eastAsia" w:ascii="宋体" w:hAnsi="宋体" w:cs="宋体"/>
                <w:sz w:val="22"/>
                <w:szCs w:val="22"/>
              </w:rPr>
              <w:t>主机</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342AF0DB">
            <w:pPr>
              <w:jc w:val="left"/>
              <w:rPr>
                <w:rFonts w:hint="eastAsia" w:ascii="宋体" w:hAnsi="宋体" w:cs="宋体"/>
                <w:sz w:val="22"/>
                <w:szCs w:val="22"/>
              </w:rPr>
            </w:pPr>
            <w:r>
              <w:rPr>
                <w:rFonts w:hint="eastAsia" w:ascii="宋体" w:hAnsi="宋体" w:cs="宋体"/>
                <w:sz w:val="22"/>
                <w:szCs w:val="22"/>
              </w:rPr>
              <w:t>1</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DB50777">
            <w:pPr>
              <w:jc w:val="left"/>
              <w:rPr>
                <w:rFonts w:hint="eastAsia" w:ascii="宋体" w:hAnsi="宋体" w:cs="宋体"/>
                <w:sz w:val="22"/>
                <w:szCs w:val="22"/>
              </w:rPr>
            </w:pPr>
            <w:r>
              <w:rPr>
                <w:rFonts w:hint="eastAsia" w:ascii="宋体" w:hAnsi="宋体" w:cs="宋体"/>
                <w:sz w:val="22"/>
                <w:szCs w:val="22"/>
              </w:rPr>
              <w:t>台</w:t>
            </w:r>
          </w:p>
        </w:tc>
        <w:tc>
          <w:tcPr>
            <w:tcW w:w="4710" w:type="dxa"/>
            <w:tcBorders>
              <w:top w:val="single" w:color="auto" w:sz="4" w:space="0"/>
              <w:left w:val="single" w:color="auto" w:sz="4" w:space="0"/>
              <w:bottom w:val="single" w:color="auto" w:sz="4" w:space="0"/>
              <w:right w:val="single" w:color="auto" w:sz="4" w:space="0"/>
            </w:tcBorders>
            <w:noWrap w:val="0"/>
            <w:vAlign w:val="center"/>
          </w:tcPr>
          <w:p w14:paraId="31F9691B">
            <w:pPr>
              <w:jc w:val="left"/>
              <w:rPr>
                <w:rFonts w:hint="eastAsia" w:ascii="宋体" w:hAnsi="宋体" w:cs="宋体"/>
                <w:w w:val="90"/>
                <w:sz w:val="22"/>
                <w:szCs w:val="22"/>
              </w:rPr>
            </w:pPr>
          </w:p>
        </w:tc>
      </w:tr>
      <w:tr w14:paraId="77331FF4">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03" w:hRule="atLeas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14:paraId="0A9F767B">
            <w:pPr>
              <w:numPr>
                <w:ilvl w:val="0"/>
                <w:numId w:val="1"/>
              </w:numPr>
              <w:jc w:val="left"/>
              <w:rPr>
                <w:rFonts w:hint="eastAsia" w:ascii="宋体" w:hAnsi="宋体" w:cs="宋体"/>
                <w:sz w:val="22"/>
                <w:szCs w:val="22"/>
              </w:rPr>
            </w:pPr>
          </w:p>
        </w:tc>
        <w:tc>
          <w:tcPr>
            <w:tcW w:w="2726" w:type="dxa"/>
            <w:tcBorders>
              <w:top w:val="single" w:color="auto" w:sz="4" w:space="0"/>
              <w:left w:val="single" w:color="auto" w:sz="4" w:space="0"/>
              <w:bottom w:val="single" w:color="auto" w:sz="4" w:space="0"/>
              <w:right w:val="single" w:color="auto" w:sz="4" w:space="0"/>
            </w:tcBorders>
            <w:noWrap w:val="0"/>
            <w:vAlign w:val="center"/>
          </w:tcPr>
          <w:p w14:paraId="438595BF">
            <w:pPr>
              <w:jc w:val="left"/>
              <w:rPr>
                <w:rFonts w:ascii="宋体" w:hAnsi="宋体" w:cs="宋体"/>
                <w:sz w:val="22"/>
                <w:szCs w:val="22"/>
              </w:rPr>
            </w:pPr>
            <w:r>
              <w:rPr>
                <w:rFonts w:hint="eastAsia" w:ascii="宋体" w:hAnsi="宋体" w:cs="宋体"/>
                <w:sz w:val="22"/>
                <w:szCs w:val="22"/>
              </w:rPr>
              <w:t>水平转子-吊篮*4组</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21CC7D9A">
            <w:pPr>
              <w:jc w:val="left"/>
              <w:rPr>
                <w:rFonts w:hint="eastAsia" w:ascii="宋体" w:hAnsi="宋体" w:cs="宋体"/>
                <w:sz w:val="22"/>
                <w:szCs w:val="22"/>
              </w:rPr>
            </w:pPr>
            <w:r>
              <w:rPr>
                <w:rFonts w:hint="eastAsia" w:ascii="宋体" w:hAnsi="宋体" w:cs="宋体"/>
                <w:sz w:val="22"/>
                <w:szCs w:val="22"/>
              </w:rPr>
              <w:t>1</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15C59009">
            <w:pPr>
              <w:jc w:val="left"/>
              <w:rPr>
                <w:rFonts w:hint="eastAsia" w:ascii="宋体" w:hAnsi="宋体" w:cs="宋体"/>
                <w:sz w:val="22"/>
                <w:szCs w:val="22"/>
              </w:rPr>
            </w:pPr>
            <w:r>
              <w:rPr>
                <w:rFonts w:hint="eastAsia" w:ascii="宋体" w:hAnsi="宋体" w:cs="宋体"/>
                <w:sz w:val="22"/>
                <w:szCs w:val="22"/>
              </w:rPr>
              <w:t>套</w:t>
            </w:r>
          </w:p>
        </w:tc>
        <w:tc>
          <w:tcPr>
            <w:tcW w:w="4710" w:type="dxa"/>
            <w:tcBorders>
              <w:top w:val="single" w:color="auto" w:sz="4" w:space="0"/>
              <w:left w:val="single" w:color="auto" w:sz="4" w:space="0"/>
              <w:bottom w:val="single" w:color="auto" w:sz="4" w:space="0"/>
              <w:right w:val="single" w:color="auto" w:sz="4" w:space="0"/>
            </w:tcBorders>
            <w:noWrap w:val="0"/>
            <w:vAlign w:val="center"/>
          </w:tcPr>
          <w:p w14:paraId="28AEA288">
            <w:pPr>
              <w:jc w:val="left"/>
              <w:rPr>
                <w:rFonts w:ascii="宋体" w:hAnsi="宋体" w:cs="宋体"/>
                <w:sz w:val="22"/>
                <w:szCs w:val="22"/>
              </w:rPr>
            </w:pPr>
          </w:p>
        </w:tc>
      </w:tr>
      <w:tr w14:paraId="72E19797">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03" w:hRule="atLeas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14:paraId="28032B80">
            <w:pPr>
              <w:numPr>
                <w:ilvl w:val="0"/>
                <w:numId w:val="1"/>
              </w:numPr>
              <w:jc w:val="left"/>
              <w:rPr>
                <w:rFonts w:hint="eastAsia" w:ascii="宋体" w:hAnsi="宋体" w:cs="宋体"/>
                <w:sz w:val="22"/>
                <w:szCs w:val="22"/>
              </w:rPr>
            </w:pPr>
          </w:p>
        </w:tc>
        <w:tc>
          <w:tcPr>
            <w:tcW w:w="2726" w:type="dxa"/>
            <w:tcBorders>
              <w:top w:val="single" w:color="auto" w:sz="4" w:space="0"/>
              <w:left w:val="single" w:color="auto" w:sz="4" w:space="0"/>
              <w:bottom w:val="single" w:color="auto" w:sz="4" w:space="0"/>
              <w:right w:val="single" w:color="auto" w:sz="4" w:space="0"/>
            </w:tcBorders>
            <w:noWrap w:val="0"/>
            <w:vAlign w:val="center"/>
          </w:tcPr>
          <w:p w14:paraId="595B2096">
            <w:pPr>
              <w:jc w:val="left"/>
              <w:rPr>
                <w:rFonts w:ascii="宋体" w:hAnsi="宋体" w:cs="宋体"/>
                <w:sz w:val="22"/>
                <w:szCs w:val="22"/>
              </w:rPr>
            </w:pPr>
            <w:r>
              <w:rPr>
                <w:rFonts w:hint="eastAsia" w:ascii="宋体" w:hAnsi="宋体" w:cs="宋体"/>
                <w:sz w:val="22"/>
                <w:szCs w:val="22"/>
              </w:rPr>
              <w:t>适配器</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5BF824F">
            <w:pPr>
              <w:jc w:val="left"/>
              <w:rPr>
                <w:rFonts w:ascii="宋体" w:hAnsi="宋体" w:cs="宋体"/>
                <w:sz w:val="22"/>
                <w:szCs w:val="22"/>
              </w:rPr>
            </w:pPr>
            <w:r>
              <w:rPr>
                <w:rFonts w:hint="eastAsia" w:ascii="宋体" w:hAnsi="宋体" w:cs="宋体"/>
                <w:sz w:val="22"/>
                <w:szCs w:val="22"/>
              </w:rPr>
              <w:t>1</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5EB4B897">
            <w:pPr>
              <w:jc w:val="left"/>
              <w:rPr>
                <w:rFonts w:ascii="宋体" w:hAnsi="宋体" w:cs="宋体"/>
                <w:sz w:val="22"/>
                <w:szCs w:val="22"/>
              </w:rPr>
            </w:pPr>
            <w:r>
              <w:rPr>
                <w:rFonts w:hint="eastAsia" w:ascii="宋体" w:hAnsi="宋体" w:cs="宋体"/>
                <w:sz w:val="22"/>
                <w:szCs w:val="22"/>
              </w:rPr>
              <w:t>套</w:t>
            </w:r>
          </w:p>
        </w:tc>
        <w:tc>
          <w:tcPr>
            <w:tcW w:w="4710" w:type="dxa"/>
            <w:tcBorders>
              <w:top w:val="single" w:color="auto" w:sz="4" w:space="0"/>
              <w:left w:val="single" w:color="auto" w:sz="4" w:space="0"/>
              <w:bottom w:val="single" w:color="auto" w:sz="4" w:space="0"/>
              <w:right w:val="single" w:color="auto" w:sz="4" w:space="0"/>
            </w:tcBorders>
            <w:noWrap w:val="0"/>
            <w:vAlign w:val="center"/>
          </w:tcPr>
          <w:p w14:paraId="7A472C0F">
            <w:pPr>
              <w:jc w:val="left"/>
              <w:rPr>
                <w:rFonts w:hint="eastAsia" w:ascii="宋体" w:hAnsi="宋体" w:cs="宋体"/>
                <w:sz w:val="22"/>
                <w:szCs w:val="22"/>
              </w:rPr>
            </w:pPr>
            <w:r>
              <w:rPr>
                <w:rFonts w:hint="eastAsia" w:ascii="宋体" w:hAnsi="宋体" w:cs="宋体"/>
                <w:sz w:val="22"/>
                <w:szCs w:val="22"/>
              </w:rPr>
              <w:t>5ml真空采血管*100支（自动脱帽）</w:t>
            </w:r>
          </w:p>
        </w:tc>
      </w:tr>
      <w:tr w14:paraId="1CA1DF19">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403" w:hRule="atLeas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14:paraId="6522412A">
            <w:pPr>
              <w:numPr>
                <w:ilvl w:val="0"/>
                <w:numId w:val="1"/>
              </w:numPr>
              <w:jc w:val="left"/>
              <w:rPr>
                <w:rFonts w:hint="eastAsia" w:ascii="宋体" w:hAnsi="宋体" w:cs="宋体"/>
                <w:sz w:val="22"/>
                <w:szCs w:val="22"/>
              </w:rPr>
            </w:pPr>
          </w:p>
        </w:tc>
        <w:tc>
          <w:tcPr>
            <w:tcW w:w="2726" w:type="dxa"/>
            <w:tcBorders>
              <w:top w:val="single" w:color="auto" w:sz="4" w:space="0"/>
              <w:left w:val="single" w:color="auto" w:sz="4" w:space="0"/>
              <w:bottom w:val="single" w:color="auto" w:sz="4" w:space="0"/>
              <w:right w:val="single" w:color="auto" w:sz="4" w:space="0"/>
            </w:tcBorders>
            <w:noWrap w:val="0"/>
            <w:vAlign w:val="center"/>
          </w:tcPr>
          <w:p w14:paraId="0924F3BF">
            <w:pPr>
              <w:jc w:val="left"/>
              <w:rPr>
                <w:rFonts w:ascii="宋体" w:hAnsi="宋体" w:cs="宋体"/>
                <w:sz w:val="22"/>
                <w:szCs w:val="22"/>
              </w:rPr>
            </w:pPr>
            <w:r>
              <w:rPr>
                <w:rFonts w:hint="eastAsia" w:ascii="宋体" w:hAnsi="宋体" w:cs="宋体"/>
                <w:sz w:val="22"/>
                <w:szCs w:val="22"/>
              </w:rPr>
              <w:t>电源线</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01A54D1E">
            <w:pPr>
              <w:jc w:val="left"/>
              <w:rPr>
                <w:rFonts w:hint="eastAsia" w:ascii="宋体" w:hAnsi="宋体" w:cs="宋体"/>
                <w:sz w:val="22"/>
                <w:szCs w:val="22"/>
              </w:rPr>
            </w:pPr>
            <w:r>
              <w:rPr>
                <w:rFonts w:hint="eastAsia" w:ascii="宋体" w:hAnsi="宋体" w:cs="宋体"/>
                <w:sz w:val="22"/>
                <w:szCs w:val="22"/>
              </w:rPr>
              <w:t>1</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7B9A283E">
            <w:pPr>
              <w:jc w:val="left"/>
              <w:rPr>
                <w:rFonts w:hint="eastAsia" w:ascii="宋体" w:hAnsi="宋体" w:cs="宋体"/>
                <w:sz w:val="22"/>
                <w:szCs w:val="22"/>
              </w:rPr>
            </w:pPr>
            <w:r>
              <w:rPr>
                <w:rFonts w:hint="eastAsia" w:ascii="宋体" w:hAnsi="宋体" w:cs="宋体"/>
                <w:sz w:val="22"/>
                <w:szCs w:val="22"/>
              </w:rPr>
              <w:t>条</w:t>
            </w:r>
          </w:p>
        </w:tc>
        <w:tc>
          <w:tcPr>
            <w:tcW w:w="4710" w:type="dxa"/>
            <w:tcBorders>
              <w:top w:val="single" w:color="auto" w:sz="4" w:space="0"/>
              <w:left w:val="single" w:color="auto" w:sz="4" w:space="0"/>
              <w:bottom w:val="single" w:color="auto" w:sz="4" w:space="0"/>
              <w:right w:val="single" w:color="auto" w:sz="4" w:space="0"/>
            </w:tcBorders>
            <w:noWrap w:val="0"/>
            <w:vAlign w:val="center"/>
          </w:tcPr>
          <w:p w14:paraId="34A22ED4">
            <w:pPr>
              <w:jc w:val="left"/>
              <w:rPr>
                <w:rFonts w:ascii="宋体" w:hAnsi="宋体" w:cs="宋体"/>
                <w:sz w:val="22"/>
                <w:szCs w:val="22"/>
              </w:rPr>
            </w:pPr>
          </w:p>
        </w:tc>
      </w:tr>
      <w:tr w14:paraId="49D2146F">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28" w:hRule="atLeast"/>
          <w:jc w:val="center"/>
        </w:trPr>
        <w:tc>
          <w:tcPr>
            <w:tcW w:w="692" w:type="dxa"/>
            <w:tcBorders>
              <w:top w:val="single" w:color="auto" w:sz="4" w:space="0"/>
              <w:left w:val="single" w:color="auto" w:sz="4" w:space="0"/>
              <w:bottom w:val="single" w:color="auto" w:sz="4" w:space="0"/>
              <w:right w:val="single" w:color="auto" w:sz="4" w:space="0"/>
            </w:tcBorders>
            <w:noWrap w:val="0"/>
            <w:vAlign w:val="center"/>
          </w:tcPr>
          <w:p w14:paraId="502AE130">
            <w:pPr>
              <w:numPr>
                <w:ilvl w:val="0"/>
                <w:numId w:val="1"/>
              </w:numPr>
              <w:jc w:val="left"/>
              <w:rPr>
                <w:rFonts w:hint="eastAsia" w:ascii="宋体" w:hAnsi="宋体" w:cs="宋体"/>
                <w:sz w:val="22"/>
                <w:szCs w:val="22"/>
              </w:rPr>
            </w:pPr>
          </w:p>
        </w:tc>
        <w:tc>
          <w:tcPr>
            <w:tcW w:w="2726" w:type="dxa"/>
            <w:tcBorders>
              <w:top w:val="single" w:color="auto" w:sz="4" w:space="0"/>
              <w:left w:val="single" w:color="auto" w:sz="4" w:space="0"/>
              <w:bottom w:val="single" w:color="auto" w:sz="4" w:space="0"/>
              <w:right w:val="single" w:color="auto" w:sz="4" w:space="0"/>
            </w:tcBorders>
            <w:noWrap w:val="0"/>
            <w:vAlign w:val="center"/>
          </w:tcPr>
          <w:p w14:paraId="5176D226">
            <w:pPr>
              <w:jc w:val="left"/>
              <w:rPr>
                <w:rFonts w:hint="eastAsia" w:ascii="宋体" w:hAnsi="宋体" w:cs="宋体"/>
                <w:sz w:val="22"/>
                <w:szCs w:val="22"/>
              </w:rPr>
            </w:pPr>
            <w:r>
              <w:rPr>
                <w:rFonts w:hint="eastAsia" w:ascii="宋体" w:hAnsi="宋体" w:cs="宋体"/>
                <w:sz w:val="22"/>
                <w:szCs w:val="22"/>
              </w:rPr>
              <w:t>产品使用说明书</w:t>
            </w:r>
          </w:p>
        </w:tc>
        <w:tc>
          <w:tcPr>
            <w:tcW w:w="690" w:type="dxa"/>
            <w:tcBorders>
              <w:top w:val="single" w:color="auto" w:sz="4" w:space="0"/>
              <w:left w:val="single" w:color="auto" w:sz="4" w:space="0"/>
              <w:bottom w:val="single" w:color="auto" w:sz="4" w:space="0"/>
              <w:right w:val="single" w:color="auto" w:sz="4" w:space="0"/>
            </w:tcBorders>
            <w:noWrap w:val="0"/>
            <w:vAlign w:val="center"/>
          </w:tcPr>
          <w:p w14:paraId="4D1A2B77">
            <w:pPr>
              <w:jc w:val="left"/>
              <w:rPr>
                <w:rFonts w:hint="eastAsia" w:ascii="宋体" w:hAnsi="宋体" w:cs="宋体"/>
                <w:sz w:val="22"/>
                <w:szCs w:val="22"/>
              </w:rPr>
            </w:pPr>
            <w:r>
              <w:rPr>
                <w:rFonts w:hint="eastAsia" w:ascii="宋体" w:hAnsi="宋体" w:cs="宋体"/>
                <w:sz w:val="22"/>
                <w:szCs w:val="22"/>
              </w:rPr>
              <w:t>1</w:t>
            </w:r>
          </w:p>
        </w:tc>
        <w:tc>
          <w:tcPr>
            <w:tcW w:w="660" w:type="dxa"/>
            <w:tcBorders>
              <w:top w:val="single" w:color="auto" w:sz="4" w:space="0"/>
              <w:left w:val="single" w:color="auto" w:sz="4" w:space="0"/>
              <w:bottom w:val="single" w:color="auto" w:sz="4" w:space="0"/>
              <w:right w:val="single" w:color="auto" w:sz="4" w:space="0"/>
            </w:tcBorders>
            <w:noWrap w:val="0"/>
            <w:vAlign w:val="center"/>
          </w:tcPr>
          <w:p w14:paraId="258E2791">
            <w:pPr>
              <w:jc w:val="left"/>
              <w:rPr>
                <w:rFonts w:hint="eastAsia" w:ascii="宋体" w:hAnsi="宋体" w:cs="宋体"/>
                <w:sz w:val="22"/>
                <w:szCs w:val="22"/>
              </w:rPr>
            </w:pPr>
            <w:r>
              <w:rPr>
                <w:rFonts w:hint="eastAsia" w:ascii="宋体" w:hAnsi="宋体" w:cs="宋体"/>
                <w:sz w:val="22"/>
                <w:szCs w:val="22"/>
              </w:rPr>
              <w:t>份</w:t>
            </w:r>
          </w:p>
        </w:tc>
        <w:tc>
          <w:tcPr>
            <w:tcW w:w="4710" w:type="dxa"/>
            <w:tcBorders>
              <w:top w:val="single" w:color="auto" w:sz="4" w:space="0"/>
              <w:left w:val="single" w:color="auto" w:sz="4" w:space="0"/>
              <w:bottom w:val="single" w:color="auto" w:sz="4" w:space="0"/>
              <w:right w:val="single" w:color="auto" w:sz="4" w:space="0"/>
            </w:tcBorders>
            <w:noWrap w:val="0"/>
            <w:vAlign w:val="center"/>
          </w:tcPr>
          <w:p w14:paraId="0E2EE94E">
            <w:pPr>
              <w:jc w:val="left"/>
              <w:rPr>
                <w:rFonts w:ascii="宋体" w:hAnsi="宋体" w:cs="宋体"/>
                <w:sz w:val="22"/>
                <w:szCs w:val="22"/>
              </w:rPr>
            </w:pPr>
          </w:p>
        </w:tc>
      </w:tr>
    </w:tbl>
    <w:p w14:paraId="4D7F2BA1">
      <w:pPr>
        <w:widowControl/>
        <w:jc w:val="left"/>
        <w:rPr>
          <w:rFonts w:hint="eastAsia" w:ascii="宋体" w:hAnsi="宋体" w:cs="宋体"/>
          <w:b/>
          <w:bCs/>
          <w:kern w:val="0"/>
          <w:sz w:val="24"/>
          <w:szCs w:val="24"/>
        </w:rPr>
      </w:pPr>
    </w:p>
    <w:p w14:paraId="6374EE7B">
      <w:pPr>
        <w:widowControl/>
        <w:jc w:val="left"/>
        <w:rPr>
          <w:rFonts w:hint="eastAsia" w:ascii="宋体" w:hAnsi="宋体" w:cs="宋体"/>
          <w:b/>
          <w:bCs/>
          <w:kern w:val="0"/>
          <w:sz w:val="24"/>
          <w:szCs w:val="24"/>
        </w:rPr>
      </w:pPr>
      <w:r>
        <w:rPr>
          <w:rFonts w:hint="eastAsia" w:ascii="宋体" w:hAnsi="宋体" w:cs="宋体"/>
          <w:b/>
          <w:bCs/>
          <w:kern w:val="0"/>
          <w:sz w:val="24"/>
          <w:szCs w:val="24"/>
        </w:rPr>
        <w:t>七、全自动凝血分析仪</w:t>
      </w:r>
    </w:p>
    <w:p w14:paraId="3B8EC22B">
      <w:pPr>
        <w:pStyle w:val="2"/>
        <w:ind w:firstLine="0" w:firstLineChars="0"/>
        <w:rPr>
          <w:rFonts w:ascii="宋体" w:hAnsi="宋体" w:cs="宋体"/>
          <w:kern w:val="0"/>
          <w:sz w:val="24"/>
          <w:szCs w:val="24"/>
        </w:rPr>
      </w:pPr>
      <w:r>
        <w:rPr>
          <w:rFonts w:hint="eastAsia" w:ascii="宋体" w:hAnsi="宋体" w:cs="宋体"/>
          <w:kern w:val="0"/>
          <w:sz w:val="24"/>
          <w:szCs w:val="24"/>
        </w:rPr>
        <w:t>1.测定原理：具有凝固法、发色底物法、免疫比浊法。相关配套检测试剂必须包含以下项目：PT、APTT、FBG、TT、DD、FDP、AT3、PC、APL、PLG等。</w:t>
      </w:r>
    </w:p>
    <w:p w14:paraId="563863E1">
      <w:pPr>
        <w:pStyle w:val="2"/>
        <w:ind w:firstLine="0" w:firstLineChars="0"/>
        <w:rPr>
          <w:rFonts w:ascii="宋体" w:hAnsi="宋体" w:cs="宋体"/>
          <w:kern w:val="0"/>
          <w:sz w:val="24"/>
          <w:szCs w:val="24"/>
        </w:rPr>
      </w:pPr>
      <w:r>
        <w:rPr>
          <w:rFonts w:hint="eastAsia" w:ascii="宋体" w:hAnsi="宋体" w:cs="宋体"/>
          <w:kern w:val="0"/>
          <w:sz w:val="24"/>
          <w:szCs w:val="24"/>
        </w:rPr>
        <w:t>2.单机检测速度：PT≥300T/H；DD≥60T/H</w:t>
      </w:r>
    </w:p>
    <w:p w14:paraId="7673B6B8">
      <w:pPr>
        <w:pStyle w:val="2"/>
        <w:ind w:firstLine="0" w:firstLineChars="0"/>
        <w:rPr>
          <w:rFonts w:ascii="宋体" w:hAnsi="宋体" w:cs="宋体"/>
          <w:kern w:val="0"/>
          <w:sz w:val="24"/>
          <w:szCs w:val="24"/>
        </w:rPr>
      </w:pPr>
      <w:r>
        <w:rPr>
          <w:rFonts w:hint="eastAsia" w:ascii="宋体" w:hAnsi="宋体" w:cs="宋体"/>
          <w:kern w:val="0"/>
          <w:sz w:val="24"/>
          <w:szCs w:val="24"/>
        </w:rPr>
        <w:t>3.PT单项报告时间≤4min</w:t>
      </w:r>
    </w:p>
    <w:p w14:paraId="595BC459">
      <w:pPr>
        <w:pStyle w:val="2"/>
        <w:ind w:firstLine="0" w:firstLineChars="0"/>
        <w:rPr>
          <w:rFonts w:ascii="宋体" w:hAnsi="宋体" w:cs="宋体"/>
          <w:kern w:val="0"/>
          <w:sz w:val="24"/>
          <w:szCs w:val="24"/>
        </w:rPr>
      </w:pPr>
      <w:r>
        <w:rPr>
          <w:rFonts w:hint="eastAsia" w:ascii="宋体" w:hAnsi="宋体" w:cs="宋体"/>
          <w:kern w:val="0"/>
          <w:sz w:val="24"/>
          <w:szCs w:val="24"/>
        </w:rPr>
        <w:t>4.检测波长及通道：仪器检测波长≥4 组，检测通道≥20 个。</w:t>
      </w:r>
    </w:p>
    <w:p w14:paraId="5CDB7A09">
      <w:pPr>
        <w:pStyle w:val="2"/>
        <w:ind w:firstLine="0" w:firstLineChars="0"/>
        <w:rPr>
          <w:rFonts w:ascii="宋体" w:hAnsi="宋体" w:cs="宋体"/>
          <w:kern w:val="0"/>
          <w:sz w:val="24"/>
          <w:szCs w:val="24"/>
        </w:rPr>
      </w:pPr>
      <w:r>
        <w:rPr>
          <w:rFonts w:hint="eastAsia" w:ascii="宋体" w:hAnsi="宋体" w:cs="宋体"/>
          <w:kern w:val="0"/>
          <w:sz w:val="24"/>
          <w:szCs w:val="24"/>
        </w:rPr>
        <w:t>5.可通过扫描识别样本、校准品、质控品，可自动再检、多点稀释；能够查看每个反应的连续吸光度变化曲线及详细数据；能够实时查看各样本检测状态、各反应位项目检测状态和测定结束的预计时间。</w:t>
      </w:r>
    </w:p>
    <w:p w14:paraId="1D60F2C7">
      <w:pPr>
        <w:pStyle w:val="2"/>
        <w:ind w:firstLine="0" w:firstLineChars="0"/>
        <w:rPr>
          <w:rFonts w:ascii="宋体" w:hAnsi="宋体" w:cs="宋体"/>
          <w:kern w:val="0"/>
          <w:sz w:val="24"/>
          <w:szCs w:val="24"/>
        </w:rPr>
      </w:pPr>
      <w:r>
        <w:rPr>
          <w:rFonts w:hint="eastAsia" w:ascii="宋体" w:hAnsi="宋体" w:cs="宋体"/>
          <w:kern w:val="0"/>
          <w:sz w:val="24"/>
          <w:szCs w:val="24"/>
        </w:rPr>
        <w:t>6.仪器可实现自动化 APTT 混合纠正实验</w:t>
      </w:r>
    </w:p>
    <w:p w14:paraId="1E0CDDD5">
      <w:pPr>
        <w:pStyle w:val="2"/>
        <w:ind w:firstLine="0" w:firstLineChars="0"/>
        <w:rPr>
          <w:rFonts w:ascii="宋体" w:hAnsi="宋体" w:cs="宋体"/>
          <w:kern w:val="0"/>
          <w:sz w:val="24"/>
          <w:szCs w:val="24"/>
        </w:rPr>
      </w:pPr>
      <w:r>
        <w:rPr>
          <w:rFonts w:hint="eastAsia" w:ascii="宋体" w:hAnsi="宋体" w:cs="宋体"/>
          <w:kern w:val="0"/>
          <w:sz w:val="24"/>
          <w:szCs w:val="24"/>
        </w:rPr>
        <w:t>7.能独立连成流水线，不影响单机运行。</w:t>
      </w:r>
    </w:p>
    <w:p w14:paraId="605AFCA2">
      <w:pPr>
        <w:pStyle w:val="2"/>
        <w:ind w:firstLine="0" w:firstLineChars="0"/>
        <w:rPr>
          <w:rFonts w:ascii="宋体" w:hAnsi="宋体" w:cs="宋体"/>
          <w:kern w:val="0"/>
          <w:sz w:val="24"/>
          <w:szCs w:val="24"/>
        </w:rPr>
      </w:pPr>
      <w:r>
        <w:rPr>
          <w:rFonts w:hint="eastAsia" w:ascii="宋体" w:hAnsi="宋体" w:cs="宋体"/>
          <w:kern w:val="0"/>
          <w:sz w:val="24"/>
          <w:szCs w:val="24"/>
        </w:rPr>
        <w:t>8.进样方式：采用轨道式进样，仪器主体进样位同时装载样本数≥50 个，测定过程无需中止操作，可连续循环进样；仪器可选配盖帽穿刺模块。</w:t>
      </w:r>
    </w:p>
    <w:p w14:paraId="7EBA5A0B">
      <w:pPr>
        <w:pStyle w:val="2"/>
        <w:ind w:firstLine="0" w:firstLineChars="0"/>
        <w:rPr>
          <w:rFonts w:ascii="宋体" w:hAnsi="宋体" w:cs="宋体"/>
          <w:kern w:val="0"/>
          <w:sz w:val="24"/>
          <w:szCs w:val="24"/>
        </w:rPr>
      </w:pPr>
      <w:r>
        <w:rPr>
          <w:rFonts w:hint="eastAsia" w:ascii="宋体" w:hAnsi="宋体" w:cs="宋体"/>
          <w:kern w:val="0"/>
          <w:sz w:val="24"/>
          <w:szCs w:val="24"/>
        </w:rPr>
        <w:t>9.吸样针：≥1 根样本针，≥2 根试剂针，试剂针具有预加热功能。配有穿刺模块时，样本针也具有减震装置，垂直撞针不损坏。</w:t>
      </w:r>
    </w:p>
    <w:p w14:paraId="4607F445">
      <w:pPr>
        <w:pStyle w:val="2"/>
        <w:ind w:firstLine="0" w:firstLineChars="0"/>
        <w:rPr>
          <w:rFonts w:ascii="宋体" w:hAnsi="宋体" w:cs="宋体"/>
          <w:kern w:val="0"/>
          <w:sz w:val="24"/>
          <w:szCs w:val="24"/>
        </w:rPr>
      </w:pPr>
      <w:r>
        <w:rPr>
          <w:rFonts w:hint="eastAsia" w:ascii="宋体" w:hAnsi="宋体" w:cs="宋体"/>
          <w:kern w:val="0"/>
          <w:sz w:val="24"/>
          <w:szCs w:val="24"/>
        </w:rPr>
        <w:t>10.急诊功能：具有独立急诊轨道，专用急诊位≥5，可直接放置急诊标本，且所有样本架可优先检测。</w:t>
      </w:r>
    </w:p>
    <w:p w14:paraId="50FE48B8">
      <w:pPr>
        <w:pStyle w:val="2"/>
        <w:ind w:firstLine="0" w:firstLineChars="0"/>
        <w:rPr>
          <w:rFonts w:ascii="宋体" w:hAnsi="宋体" w:cs="宋体"/>
          <w:kern w:val="0"/>
          <w:sz w:val="24"/>
          <w:szCs w:val="24"/>
        </w:rPr>
      </w:pPr>
      <w:r>
        <w:rPr>
          <w:rFonts w:hint="eastAsia" w:ascii="宋体" w:hAnsi="宋体" w:cs="宋体"/>
          <w:kern w:val="0"/>
          <w:sz w:val="24"/>
          <w:szCs w:val="24"/>
        </w:rPr>
        <w:t>11.样本分析前状态监测功能：具有样本评价功能，测定时进行“样本量检查”和“样本状态检查”。</w:t>
      </w:r>
    </w:p>
    <w:p w14:paraId="059D4AB4">
      <w:pPr>
        <w:pStyle w:val="2"/>
        <w:ind w:firstLine="0" w:firstLineChars="0"/>
        <w:rPr>
          <w:rFonts w:ascii="宋体" w:hAnsi="宋体" w:cs="宋体"/>
          <w:kern w:val="0"/>
          <w:sz w:val="24"/>
          <w:szCs w:val="24"/>
        </w:rPr>
      </w:pPr>
      <w:r>
        <w:rPr>
          <w:rFonts w:hint="eastAsia" w:ascii="宋体" w:hAnsi="宋体" w:cs="宋体"/>
          <w:kern w:val="0"/>
          <w:sz w:val="24"/>
          <w:szCs w:val="24"/>
        </w:rPr>
        <w:t>12.试剂仓：冷藏试剂位≥30个，≥20 个试剂位具有搅拌功能，试剂仓内置读码器，能够自动录入试剂信息，包括试剂名称、有效期限、批号和 ISI 值等；恒温冷藏≤10℃。</w:t>
      </w:r>
    </w:p>
    <w:p w14:paraId="4E77969C">
      <w:pPr>
        <w:pStyle w:val="2"/>
        <w:ind w:firstLine="0" w:firstLineChars="0"/>
        <w:rPr>
          <w:rFonts w:ascii="宋体" w:hAnsi="宋体" w:cs="宋体"/>
          <w:kern w:val="0"/>
          <w:sz w:val="24"/>
          <w:szCs w:val="24"/>
        </w:rPr>
      </w:pPr>
      <w:r>
        <w:rPr>
          <w:rFonts w:hint="eastAsia" w:ascii="宋体" w:hAnsi="宋体" w:cs="宋体"/>
          <w:kern w:val="0"/>
          <w:sz w:val="24"/>
          <w:szCs w:val="24"/>
        </w:rPr>
        <w:t>13.校准：可保存校准曲线≥10 条，多批号试剂同时上机时可自动切换校准曲线。</w:t>
      </w:r>
    </w:p>
    <w:p w14:paraId="2E8ACB0F">
      <w:pPr>
        <w:pStyle w:val="2"/>
        <w:ind w:firstLine="0" w:firstLineChars="0"/>
        <w:rPr>
          <w:rFonts w:ascii="宋体" w:hAnsi="宋体" w:cs="宋体"/>
          <w:kern w:val="0"/>
          <w:sz w:val="24"/>
          <w:szCs w:val="24"/>
        </w:rPr>
      </w:pPr>
      <w:r>
        <w:rPr>
          <w:rFonts w:hint="eastAsia" w:ascii="宋体" w:hAnsi="宋体" w:cs="宋体"/>
          <w:kern w:val="0"/>
          <w:sz w:val="24"/>
          <w:szCs w:val="24"/>
        </w:rPr>
        <w:t>14.有多种 Westgard 质控规则可选，质控结果关联仪器操作记录。可显示日差时系列、日差二维质控图。</w:t>
      </w:r>
    </w:p>
    <w:p w14:paraId="1862FAA0">
      <w:pPr>
        <w:pStyle w:val="2"/>
        <w:ind w:firstLine="0" w:firstLineChars="0"/>
        <w:rPr>
          <w:rFonts w:ascii="宋体" w:hAnsi="宋体" w:cs="宋体"/>
          <w:kern w:val="0"/>
          <w:sz w:val="24"/>
          <w:szCs w:val="24"/>
        </w:rPr>
      </w:pPr>
      <w:r>
        <w:rPr>
          <w:rFonts w:hint="eastAsia" w:ascii="宋体" w:hAnsi="宋体" w:cs="宋体"/>
          <w:kern w:val="0"/>
          <w:sz w:val="24"/>
          <w:szCs w:val="24"/>
        </w:rPr>
        <w:t xml:space="preserve">15.数据存储：仪器具备自动备份和快速恢复的功能，所有数据自动保存 </w:t>
      </w:r>
      <w:r>
        <w:rPr>
          <w:rFonts w:hint="eastAsia" w:ascii="宋体" w:hAnsi="宋体" w:cs="宋体"/>
          <w:kern w:val="0"/>
          <w:szCs w:val="24"/>
        </w:rPr>
        <w:t xml:space="preserve">2.5 </w:t>
      </w:r>
      <w:r>
        <w:rPr>
          <w:rFonts w:hint="eastAsia" w:ascii="宋体" w:hAnsi="宋体" w:cs="宋体"/>
          <w:kern w:val="0"/>
          <w:sz w:val="24"/>
          <w:szCs w:val="24"/>
        </w:rPr>
        <w:t>年。</w:t>
      </w:r>
    </w:p>
    <w:p w14:paraId="624DCE05">
      <w:pPr>
        <w:pStyle w:val="2"/>
        <w:ind w:firstLine="0" w:firstLineChars="0"/>
        <w:rPr>
          <w:rFonts w:ascii="宋体" w:hAnsi="宋体" w:cs="宋体"/>
          <w:kern w:val="0"/>
          <w:sz w:val="24"/>
          <w:szCs w:val="24"/>
        </w:rPr>
      </w:pPr>
      <w:r>
        <w:rPr>
          <w:rFonts w:hint="eastAsia" w:ascii="宋体" w:hAnsi="宋体" w:cs="宋体"/>
          <w:kern w:val="0"/>
          <w:sz w:val="24"/>
          <w:szCs w:val="24"/>
        </w:rPr>
        <w:t>16.反应杯单个独立，非微量采样时无需分杯；一次放置≥1000个，可自动连续排列。</w:t>
      </w:r>
    </w:p>
    <w:p w14:paraId="1FF40CE8">
      <w:pPr>
        <w:pStyle w:val="2"/>
        <w:ind w:firstLine="0" w:firstLineChars="0"/>
        <w:rPr>
          <w:rFonts w:ascii="宋体" w:hAnsi="宋体" w:cs="宋体"/>
          <w:kern w:val="0"/>
          <w:sz w:val="24"/>
          <w:szCs w:val="24"/>
        </w:rPr>
      </w:pPr>
      <w:r>
        <w:rPr>
          <w:rFonts w:hint="eastAsia" w:ascii="宋体" w:hAnsi="宋体" w:cs="宋体"/>
          <w:kern w:val="0"/>
          <w:sz w:val="24"/>
          <w:szCs w:val="24"/>
        </w:rPr>
        <w:t>17.设备配置要求：</w:t>
      </w:r>
    </w:p>
    <w:tbl>
      <w:tblPr>
        <w:tblStyle w:val="3"/>
        <w:tblW w:w="9752" w:type="dxa"/>
        <w:tblInd w:w="100" w:type="dxa"/>
        <w:tblLayout w:type="fixed"/>
        <w:tblCellMar>
          <w:top w:w="0" w:type="dxa"/>
          <w:left w:w="108" w:type="dxa"/>
          <w:bottom w:w="0" w:type="dxa"/>
          <w:right w:w="108" w:type="dxa"/>
        </w:tblCellMar>
      </w:tblPr>
      <w:tblGrid>
        <w:gridCol w:w="858"/>
        <w:gridCol w:w="2275"/>
        <w:gridCol w:w="1000"/>
        <w:gridCol w:w="1016"/>
        <w:gridCol w:w="4603"/>
      </w:tblGrid>
      <w:tr w14:paraId="05BDC2F0">
        <w:tblPrEx>
          <w:tblCellMar>
            <w:top w:w="0" w:type="dxa"/>
            <w:left w:w="108" w:type="dxa"/>
            <w:bottom w:w="0" w:type="dxa"/>
            <w:right w:w="108" w:type="dxa"/>
          </w:tblCellMar>
        </w:tblPrEx>
        <w:trPr>
          <w:trHeight w:val="285" w:hRule="atLeast"/>
        </w:trPr>
        <w:tc>
          <w:tcPr>
            <w:tcW w:w="858" w:type="dxa"/>
            <w:tcBorders>
              <w:top w:val="single" w:color="000000" w:sz="4" w:space="0"/>
              <w:left w:val="single" w:color="000000" w:sz="4" w:space="0"/>
              <w:bottom w:val="single" w:color="000000" w:sz="4" w:space="0"/>
              <w:right w:val="single" w:color="000000" w:sz="4" w:space="0"/>
            </w:tcBorders>
            <w:noWrap w:val="0"/>
            <w:vAlign w:val="top"/>
          </w:tcPr>
          <w:p w14:paraId="368057BA">
            <w:pPr>
              <w:widowControl/>
              <w:jc w:val="left"/>
              <w:textAlignment w:val="top"/>
              <w:rPr>
                <w:rFonts w:hint="eastAsia" w:ascii="宋体" w:hAnsi="宋体" w:cs="宋体"/>
                <w:b/>
                <w:bCs/>
                <w:color w:val="000000"/>
              </w:rPr>
            </w:pPr>
            <w:r>
              <w:rPr>
                <w:rFonts w:hint="eastAsia" w:ascii="宋体" w:hAnsi="宋体" w:cs="宋体"/>
                <w:b/>
                <w:bCs/>
                <w:color w:val="000000"/>
                <w:kern w:val="0"/>
                <w:lang w:bidi="ar"/>
              </w:rPr>
              <w:t>序号</w:t>
            </w:r>
          </w:p>
        </w:tc>
        <w:tc>
          <w:tcPr>
            <w:tcW w:w="2275" w:type="dxa"/>
            <w:tcBorders>
              <w:top w:val="single" w:color="000000" w:sz="4" w:space="0"/>
              <w:left w:val="single" w:color="000000" w:sz="4" w:space="0"/>
              <w:bottom w:val="single" w:color="000000" w:sz="4" w:space="0"/>
              <w:right w:val="single" w:color="000000" w:sz="4" w:space="0"/>
            </w:tcBorders>
            <w:noWrap w:val="0"/>
            <w:vAlign w:val="top"/>
          </w:tcPr>
          <w:p w14:paraId="1C8CA216">
            <w:pPr>
              <w:widowControl/>
              <w:jc w:val="left"/>
              <w:textAlignment w:val="top"/>
              <w:rPr>
                <w:rFonts w:hint="eastAsia" w:ascii="宋体" w:hAnsi="宋体" w:cs="宋体"/>
                <w:b/>
                <w:bCs/>
                <w:color w:val="000000"/>
              </w:rPr>
            </w:pPr>
            <w:r>
              <w:rPr>
                <w:rFonts w:hint="eastAsia" w:ascii="宋体" w:hAnsi="宋体" w:cs="宋体"/>
                <w:b/>
                <w:bCs/>
                <w:color w:val="000000"/>
                <w:kern w:val="0"/>
                <w:lang w:bidi="ar"/>
              </w:rPr>
              <w:t>名称</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031309ED">
            <w:pPr>
              <w:widowControl/>
              <w:jc w:val="left"/>
              <w:textAlignment w:val="top"/>
              <w:rPr>
                <w:rFonts w:hint="eastAsia" w:ascii="宋体" w:hAnsi="宋体" w:cs="宋体"/>
                <w:b/>
                <w:bCs/>
                <w:color w:val="000000"/>
              </w:rPr>
            </w:pPr>
            <w:r>
              <w:rPr>
                <w:rFonts w:hint="eastAsia" w:ascii="宋体" w:hAnsi="宋体" w:cs="宋体"/>
                <w:b/>
                <w:bCs/>
                <w:color w:val="000000"/>
                <w:kern w:val="0"/>
                <w:lang w:bidi="ar"/>
              </w:rPr>
              <w:t>数量</w:t>
            </w:r>
          </w:p>
        </w:tc>
        <w:tc>
          <w:tcPr>
            <w:tcW w:w="1016" w:type="dxa"/>
            <w:tcBorders>
              <w:top w:val="single" w:color="000000" w:sz="4" w:space="0"/>
              <w:left w:val="single" w:color="000000" w:sz="4" w:space="0"/>
              <w:bottom w:val="single" w:color="000000" w:sz="4" w:space="0"/>
              <w:right w:val="single" w:color="000000" w:sz="4" w:space="0"/>
            </w:tcBorders>
            <w:noWrap w:val="0"/>
            <w:vAlign w:val="top"/>
          </w:tcPr>
          <w:p w14:paraId="271E9254">
            <w:pPr>
              <w:widowControl/>
              <w:jc w:val="left"/>
              <w:textAlignment w:val="top"/>
              <w:rPr>
                <w:rFonts w:ascii="宋体" w:hAnsi="宋体" w:cs="宋体"/>
                <w:b/>
                <w:bCs/>
                <w:color w:val="000000"/>
                <w:kern w:val="0"/>
                <w:lang w:bidi="ar"/>
              </w:rPr>
            </w:pPr>
            <w:r>
              <w:rPr>
                <w:rFonts w:hint="eastAsia" w:ascii="宋体" w:hAnsi="宋体" w:cs="宋体"/>
                <w:b/>
                <w:bCs/>
                <w:color w:val="000000"/>
                <w:kern w:val="0"/>
                <w:lang w:bidi="ar"/>
              </w:rPr>
              <w:t>单位</w:t>
            </w:r>
          </w:p>
        </w:tc>
        <w:tc>
          <w:tcPr>
            <w:tcW w:w="4603" w:type="dxa"/>
            <w:tcBorders>
              <w:top w:val="single" w:color="000000" w:sz="4" w:space="0"/>
              <w:left w:val="single" w:color="000000" w:sz="4" w:space="0"/>
              <w:bottom w:val="single" w:color="000000" w:sz="4" w:space="0"/>
              <w:right w:val="single" w:color="000000" w:sz="4" w:space="0"/>
            </w:tcBorders>
            <w:noWrap w:val="0"/>
            <w:vAlign w:val="top"/>
          </w:tcPr>
          <w:p w14:paraId="51F3C0AF">
            <w:pPr>
              <w:widowControl/>
              <w:jc w:val="left"/>
              <w:textAlignment w:val="top"/>
              <w:rPr>
                <w:rFonts w:hint="eastAsia" w:ascii="宋体" w:hAnsi="宋体" w:cs="宋体"/>
                <w:b/>
                <w:bCs/>
                <w:color w:val="000000"/>
              </w:rPr>
            </w:pPr>
            <w:r>
              <w:rPr>
                <w:rFonts w:hint="eastAsia" w:ascii="宋体" w:hAnsi="宋体" w:cs="宋体"/>
                <w:b/>
                <w:bCs/>
                <w:color w:val="000000"/>
                <w:kern w:val="0"/>
                <w:lang w:bidi="ar"/>
              </w:rPr>
              <w:t>备注</w:t>
            </w:r>
          </w:p>
        </w:tc>
      </w:tr>
      <w:tr w14:paraId="61542567">
        <w:tblPrEx>
          <w:tblCellMar>
            <w:top w:w="0" w:type="dxa"/>
            <w:left w:w="108" w:type="dxa"/>
            <w:bottom w:w="0" w:type="dxa"/>
            <w:right w:w="108" w:type="dxa"/>
          </w:tblCellMar>
        </w:tblPrEx>
        <w:trPr>
          <w:trHeight w:val="260" w:hRule="atLeast"/>
        </w:trPr>
        <w:tc>
          <w:tcPr>
            <w:tcW w:w="858" w:type="dxa"/>
            <w:tcBorders>
              <w:top w:val="single" w:color="000000" w:sz="4" w:space="0"/>
              <w:left w:val="single" w:color="000000" w:sz="4" w:space="0"/>
              <w:bottom w:val="single" w:color="000000" w:sz="4" w:space="0"/>
              <w:right w:val="single" w:color="000000" w:sz="4" w:space="0"/>
            </w:tcBorders>
            <w:noWrap w:val="0"/>
            <w:vAlign w:val="top"/>
          </w:tcPr>
          <w:p w14:paraId="511737E1">
            <w:pPr>
              <w:widowControl/>
              <w:jc w:val="left"/>
              <w:textAlignment w:val="top"/>
              <w:rPr>
                <w:color w:val="000000"/>
              </w:rPr>
            </w:pPr>
            <w:r>
              <w:rPr>
                <w:color w:val="000000"/>
                <w:kern w:val="0"/>
                <w:lang w:bidi="ar"/>
              </w:rPr>
              <w:t>1</w:t>
            </w:r>
          </w:p>
        </w:tc>
        <w:tc>
          <w:tcPr>
            <w:tcW w:w="2275" w:type="dxa"/>
            <w:tcBorders>
              <w:top w:val="single" w:color="000000" w:sz="4" w:space="0"/>
              <w:left w:val="single" w:color="000000" w:sz="4" w:space="0"/>
              <w:bottom w:val="single" w:color="000000" w:sz="4" w:space="0"/>
              <w:right w:val="single" w:color="000000" w:sz="4" w:space="0"/>
            </w:tcBorders>
            <w:noWrap w:val="0"/>
            <w:vAlign w:val="top"/>
          </w:tcPr>
          <w:p w14:paraId="6F10D538">
            <w:pPr>
              <w:widowControl/>
              <w:jc w:val="left"/>
              <w:textAlignment w:val="top"/>
              <w:rPr>
                <w:rFonts w:hint="eastAsia" w:ascii="宋体" w:hAnsi="宋体" w:cs="宋体"/>
                <w:color w:val="000000"/>
              </w:rPr>
            </w:pPr>
            <w:r>
              <w:rPr>
                <w:rFonts w:hint="eastAsia" w:ascii="宋体" w:hAnsi="宋体" w:cs="宋体"/>
                <w:color w:val="000000"/>
                <w:kern w:val="0"/>
                <w:lang w:bidi="ar"/>
              </w:rPr>
              <w:t>仪器主机（分析单元）</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4FA5B46B">
            <w:pPr>
              <w:widowControl/>
              <w:jc w:val="left"/>
              <w:textAlignment w:val="top"/>
              <w:rPr>
                <w:color w:val="000000"/>
              </w:rPr>
            </w:pPr>
            <w:r>
              <w:rPr>
                <w:color w:val="000000"/>
                <w:kern w:val="0"/>
                <w:lang w:bidi="ar"/>
              </w:rPr>
              <w:t>1</w:t>
            </w:r>
          </w:p>
        </w:tc>
        <w:tc>
          <w:tcPr>
            <w:tcW w:w="1016" w:type="dxa"/>
            <w:tcBorders>
              <w:top w:val="single" w:color="000000" w:sz="4" w:space="0"/>
              <w:left w:val="single" w:color="000000" w:sz="4" w:space="0"/>
              <w:bottom w:val="single" w:color="000000" w:sz="4" w:space="0"/>
              <w:right w:val="single" w:color="000000" w:sz="4" w:space="0"/>
            </w:tcBorders>
            <w:noWrap w:val="0"/>
            <w:vAlign w:val="top"/>
          </w:tcPr>
          <w:p w14:paraId="7375F0DD">
            <w:pPr>
              <w:widowControl/>
              <w:jc w:val="left"/>
              <w:textAlignment w:val="top"/>
              <w:rPr>
                <w:rFonts w:ascii="宋体" w:hAnsi="宋体" w:cs="宋体"/>
                <w:color w:val="000000"/>
                <w:kern w:val="0"/>
                <w:lang w:bidi="ar"/>
              </w:rPr>
            </w:pPr>
            <w:r>
              <w:rPr>
                <w:rFonts w:hint="eastAsia" w:ascii="宋体" w:hAnsi="宋体" w:cs="宋体"/>
                <w:color w:val="000000"/>
                <w:kern w:val="0"/>
                <w:lang w:bidi="ar"/>
              </w:rPr>
              <w:t>台</w:t>
            </w:r>
          </w:p>
        </w:tc>
        <w:tc>
          <w:tcPr>
            <w:tcW w:w="4603" w:type="dxa"/>
            <w:tcBorders>
              <w:top w:val="single" w:color="000000" w:sz="4" w:space="0"/>
              <w:left w:val="single" w:color="000000" w:sz="4" w:space="0"/>
              <w:bottom w:val="single" w:color="000000" w:sz="4" w:space="0"/>
              <w:right w:val="single" w:color="000000" w:sz="4" w:space="0"/>
            </w:tcBorders>
            <w:noWrap w:val="0"/>
            <w:vAlign w:val="top"/>
          </w:tcPr>
          <w:p w14:paraId="58E95070">
            <w:pPr>
              <w:widowControl/>
              <w:jc w:val="left"/>
              <w:textAlignment w:val="top"/>
              <w:rPr>
                <w:rFonts w:hint="eastAsia" w:ascii="宋体" w:hAnsi="宋体" w:cs="宋体"/>
                <w:color w:val="000000"/>
              </w:rPr>
            </w:pPr>
            <w:r>
              <w:rPr>
                <w:rFonts w:hint="eastAsia" w:ascii="宋体" w:hAnsi="宋体" w:cs="宋体"/>
                <w:color w:val="000000"/>
                <w:kern w:val="0"/>
                <w:lang w:bidi="ar"/>
              </w:rPr>
              <w:t>样本条码扫码器、内置试剂条码扫码器</w:t>
            </w:r>
          </w:p>
        </w:tc>
      </w:tr>
      <w:tr w14:paraId="786C6477">
        <w:tblPrEx>
          <w:tblCellMar>
            <w:top w:w="0" w:type="dxa"/>
            <w:left w:w="108" w:type="dxa"/>
            <w:bottom w:w="0" w:type="dxa"/>
            <w:right w:w="108" w:type="dxa"/>
          </w:tblCellMar>
        </w:tblPrEx>
        <w:trPr>
          <w:trHeight w:val="260" w:hRule="atLeast"/>
        </w:trPr>
        <w:tc>
          <w:tcPr>
            <w:tcW w:w="858" w:type="dxa"/>
            <w:tcBorders>
              <w:top w:val="single" w:color="000000" w:sz="4" w:space="0"/>
              <w:left w:val="single" w:color="000000" w:sz="4" w:space="0"/>
              <w:bottom w:val="single" w:color="000000" w:sz="4" w:space="0"/>
              <w:right w:val="single" w:color="000000" w:sz="4" w:space="0"/>
            </w:tcBorders>
            <w:noWrap w:val="0"/>
            <w:vAlign w:val="top"/>
          </w:tcPr>
          <w:p w14:paraId="679A7E15">
            <w:pPr>
              <w:widowControl/>
              <w:jc w:val="left"/>
              <w:textAlignment w:val="top"/>
              <w:rPr>
                <w:color w:val="000000"/>
              </w:rPr>
            </w:pPr>
            <w:r>
              <w:rPr>
                <w:color w:val="000000"/>
                <w:kern w:val="0"/>
                <w:lang w:bidi="ar"/>
              </w:rPr>
              <w:t>2</w:t>
            </w:r>
          </w:p>
        </w:tc>
        <w:tc>
          <w:tcPr>
            <w:tcW w:w="2275" w:type="dxa"/>
            <w:tcBorders>
              <w:top w:val="single" w:color="000000" w:sz="4" w:space="0"/>
              <w:left w:val="single" w:color="000000" w:sz="4" w:space="0"/>
              <w:bottom w:val="single" w:color="000000" w:sz="4" w:space="0"/>
              <w:right w:val="single" w:color="000000" w:sz="4" w:space="0"/>
            </w:tcBorders>
            <w:noWrap w:val="0"/>
            <w:vAlign w:val="top"/>
          </w:tcPr>
          <w:p w14:paraId="73D256D9">
            <w:pPr>
              <w:widowControl/>
              <w:jc w:val="left"/>
              <w:textAlignment w:val="top"/>
              <w:rPr>
                <w:rFonts w:hint="eastAsia" w:ascii="宋体" w:hAnsi="宋体" w:cs="宋体"/>
                <w:color w:val="000000"/>
              </w:rPr>
            </w:pPr>
            <w:r>
              <w:rPr>
                <w:rFonts w:hint="eastAsia" w:ascii="宋体" w:hAnsi="宋体" w:cs="宋体"/>
                <w:color w:val="000000"/>
                <w:kern w:val="0"/>
                <w:lang w:bidi="ar"/>
              </w:rPr>
              <w:t>样本架</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4CC64267">
            <w:pPr>
              <w:widowControl/>
              <w:jc w:val="left"/>
              <w:textAlignment w:val="top"/>
              <w:rPr>
                <w:color w:val="000000"/>
              </w:rPr>
            </w:pPr>
            <w:r>
              <w:rPr>
                <w:color w:val="000000"/>
                <w:kern w:val="0"/>
                <w:lang w:bidi="ar"/>
              </w:rPr>
              <w:t>10</w:t>
            </w:r>
          </w:p>
        </w:tc>
        <w:tc>
          <w:tcPr>
            <w:tcW w:w="1016" w:type="dxa"/>
            <w:tcBorders>
              <w:top w:val="single" w:color="000000" w:sz="4" w:space="0"/>
              <w:left w:val="single" w:color="000000" w:sz="4" w:space="0"/>
              <w:bottom w:val="single" w:color="000000" w:sz="4" w:space="0"/>
              <w:right w:val="single" w:color="000000" w:sz="4" w:space="0"/>
            </w:tcBorders>
            <w:noWrap w:val="0"/>
            <w:vAlign w:val="top"/>
          </w:tcPr>
          <w:p w14:paraId="0678C251">
            <w:pPr>
              <w:widowControl/>
              <w:jc w:val="left"/>
              <w:textAlignment w:val="top"/>
              <w:rPr>
                <w:rFonts w:ascii="宋体" w:hAnsi="宋体" w:cs="宋体"/>
                <w:color w:val="000000"/>
                <w:kern w:val="0"/>
                <w:lang w:bidi="ar"/>
              </w:rPr>
            </w:pPr>
            <w:r>
              <w:rPr>
                <w:rFonts w:hint="eastAsia" w:ascii="宋体" w:hAnsi="宋体" w:cs="宋体"/>
                <w:color w:val="000000"/>
                <w:kern w:val="0"/>
                <w:lang w:bidi="ar"/>
              </w:rPr>
              <w:t>个</w:t>
            </w:r>
          </w:p>
        </w:tc>
        <w:tc>
          <w:tcPr>
            <w:tcW w:w="4603" w:type="dxa"/>
            <w:tcBorders>
              <w:top w:val="single" w:color="000000" w:sz="4" w:space="0"/>
              <w:left w:val="single" w:color="000000" w:sz="4" w:space="0"/>
              <w:bottom w:val="single" w:color="000000" w:sz="4" w:space="0"/>
              <w:right w:val="single" w:color="000000" w:sz="4" w:space="0"/>
            </w:tcBorders>
            <w:noWrap w:val="0"/>
            <w:vAlign w:val="top"/>
          </w:tcPr>
          <w:p w14:paraId="3CFA3C15">
            <w:pPr>
              <w:widowControl/>
              <w:jc w:val="left"/>
              <w:textAlignment w:val="top"/>
              <w:rPr>
                <w:rFonts w:hint="eastAsia" w:ascii="宋体" w:hAnsi="宋体" w:cs="宋体"/>
                <w:color w:val="000000"/>
              </w:rPr>
            </w:pPr>
            <w:r>
              <w:rPr>
                <w:rFonts w:hint="eastAsia" w:ascii="宋体" w:hAnsi="宋体" w:cs="宋体"/>
                <w:color w:val="000000"/>
                <w:kern w:val="0"/>
                <w:lang w:bidi="ar"/>
              </w:rPr>
              <w:t>附着样本架标签</w:t>
            </w:r>
          </w:p>
        </w:tc>
      </w:tr>
      <w:tr w14:paraId="2B897D60">
        <w:tblPrEx>
          <w:tblCellMar>
            <w:top w:w="0" w:type="dxa"/>
            <w:left w:w="108" w:type="dxa"/>
            <w:bottom w:w="0" w:type="dxa"/>
            <w:right w:w="108" w:type="dxa"/>
          </w:tblCellMar>
        </w:tblPrEx>
        <w:trPr>
          <w:trHeight w:val="260" w:hRule="atLeast"/>
        </w:trPr>
        <w:tc>
          <w:tcPr>
            <w:tcW w:w="858" w:type="dxa"/>
            <w:tcBorders>
              <w:top w:val="single" w:color="000000" w:sz="4" w:space="0"/>
              <w:left w:val="single" w:color="000000" w:sz="4" w:space="0"/>
              <w:bottom w:val="single" w:color="000000" w:sz="4" w:space="0"/>
              <w:right w:val="single" w:color="000000" w:sz="4" w:space="0"/>
            </w:tcBorders>
            <w:noWrap w:val="0"/>
            <w:vAlign w:val="top"/>
          </w:tcPr>
          <w:p w14:paraId="17E57D9A">
            <w:pPr>
              <w:widowControl/>
              <w:jc w:val="left"/>
              <w:textAlignment w:val="top"/>
              <w:rPr>
                <w:color w:val="000000"/>
              </w:rPr>
            </w:pPr>
            <w:r>
              <w:rPr>
                <w:color w:val="000000"/>
                <w:kern w:val="0"/>
                <w:lang w:bidi="ar"/>
              </w:rPr>
              <w:t>3</w:t>
            </w:r>
          </w:p>
        </w:tc>
        <w:tc>
          <w:tcPr>
            <w:tcW w:w="2275" w:type="dxa"/>
            <w:tcBorders>
              <w:top w:val="single" w:color="000000" w:sz="4" w:space="0"/>
              <w:left w:val="single" w:color="000000" w:sz="4" w:space="0"/>
              <w:bottom w:val="single" w:color="000000" w:sz="4" w:space="0"/>
              <w:right w:val="single" w:color="000000" w:sz="4" w:space="0"/>
            </w:tcBorders>
            <w:noWrap w:val="0"/>
            <w:vAlign w:val="top"/>
          </w:tcPr>
          <w:p w14:paraId="743C61E4">
            <w:pPr>
              <w:widowControl/>
              <w:jc w:val="left"/>
              <w:textAlignment w:val="top"/>
              <w:rPr>
                <w:rFonts w:hint="eastAsia" w:ascii="宋体" w:hAnsi="宋体" w:cs="宋体"/>
                <w:color w:val="000000"/>
              </w:rPr>
            </w:pPr>
            <w:r>
              <w:rPr>
                <w:rFonts w:hint="eastAsia" w:ascii="宋体" w:hAnsi="宋体" w:cs="宋体"/>
                <w:color w:val="000000"/>
                <w:kern w:val="0"/>
                <w:lang w:bidi="ar"/>
              </w:rPr>
              <w:t>废水桶</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1D9E5AF5">
            <w:pPr>
              <w:widowControl/>
              <w:jc w:val="left"/>
              <w:textAlignment w:val="top"/>
              <w:rPr>
                <w:color w:val="000000"/>
              </w:rPr>
            </w:pPr>
            <w:r>
              <w:rPr>
                <w:color w:val="000000"/>
                <w:kern w:val="0"/>
                <w:lang w:bidi="ar"/>
              </w:rPr>
              <w:t>1</w:t>
            </w:r>
          </w:p>
        </w:tc>
        <w:tc>
          <w:tcPr>
            <w:tcW w:w="1016" w:type="dxa"/>
            <w:tcBorders>
              <w:top w:val="single" w:color="000000" w:sz="4" w:space="0"/>
              <w:left w:val="single" w:color="000000" w:sz="4" w:space="0"/>
              <w:bottom w:val="single" w:color="000000" w:sz="4" w:space="0"/>
              <w:right w:val="single" w:color="000000" w:sz="4" w:space="0"/>
            </w:tcBorders>
            <w:noWrap w:val="0"/>
            <w:vAlign w:val="top"/>
          </w:tcPr>
          <w:p w14:paraId="1378C9FF">
            <w:pPr>
              <w:jc w:val="left"/>
              <w:rPr>
                <w:rFonts w:hint="eastAsia"/>
                <w:color w:val="000000"/>
                <w:sz w:val="20"/>
                <w:szCs w:val="20"/>
              </w:rPr>
            </w:pPr>
            <w:r>
              <w:rPr>
                <w:rFonts w:hint="eastAsia"/>
                <w:color w:val="000000"/>
                <w:sz w:val="20"/>
                <w:szCs w:val="20"/>
              </w:rPr>
              <w:t>个</w:t>
            </w:r>
          </w:p>
        </w:tc>
        <w:tc>
          <w:tcPr>
            <w:tcW w:w="4603" w:type="dxa"/>
            <w:tcBorders>
              <w:top w:val="single" w:color="000000" w:sz="4" w:space="0"/>
              <w:left w:val="single" w:color="000000" w:sz="4" w:space="0"/>
              <w:bottom w:val="single" w:color="000000" w:sz="4" w:space="0"/>
              <w:right w:val="single" w:color="000000" w:sz="4" w:space="0"/>
            </w:tcBorders>
            <w:noWrap w:val="0"/>
            <w:vAlign w:val="top"/>
          </w:tcPr>
          <w:p w14:paraId="5920CF03">
            <w:pPr>
              <w:jc w:val="left"/>
              <w:rPr>
                <w:color w:val="000000"/>
                <w:sz w:val="20"/>
                <w:szCs w:val="20"/>
              </w:rPr>
            </w:pPr>
          </w:p>
        </w:tc>
      </w:tr>
      <w:tr w14:paraId="68ECF17E">
        <w:tblPrEx>
          <w:tblCellMar>
            <w:top w:w="0" w:type="dxa"/>
            <w:left w:w="108" w:type="dxa"/>
            <w:bottom w:w="0" w:type="dxa"/>
            <w:right w:w="108" w:type="dxa"/>
          </w:tblCellMar>
        </w:tblPrEx>
        <w:trPr>
          <w:trHeight w:val="260" w:hRule="atLeast"/>
        </w:trPr>
        <w:tc>
          <w:tcPr>
            <w:tcW w:w="858" w:type="dxa"/>
            <w:tcBorders>
              <w:top w:val="single" w:color="000000" w:sz="4" w:space="0"/>
              <w:left w:val="single" w:color="000000" w:sz="4" w:space="0"/>
              <w:bottom w:val="single" w:color="000000" w:sz="4" w:space="0"/>
              <w:right w:val="single" w:color="000000" w:sz="4" w:space="0"/>
            </w:tcBorders>
            <w:noWrap w:val="0"/>
            <w:vAlign w:val="top"/>
          </w:tcPr>
          <w:p w14:paraId="7131C4BF">
            <w:pPr>
              <w:widowControl/>
              <w:jc w:val="left"/>
              <w:textAlignment w:val="top"/>
              <w:rPr>
                <w:color w:val="000000"/>
              </w:rPr>
            </w:pPr>
            <w:r>
              <w:rPr>
                <w:color w:val="000000"/>
                <w:kern w:val="0"/>
                <w:lang w:bidi="ar"/>
              </w:rPr>
              <w:t>4</w:t>
            </w:r>
          </w:p>
        </w:tc>
        <w:tc>
          <w:tcPr>
            <w:tcW w:w="2275" w:type="dxa"/>
            <w:tcBorders>
              <w:top w:val="single" w:color="000000" w:sz="4" w:space="0"/>
              <w:left w:val="single" w:color="000000" w:sz="4" w:space="0"/>
              <w:bottom w:val="single" w:color="000000" w:sz="4" w:space="0"/>
              <w:right w:val="single" w:color="000000" w:sz="4" w:space="0"/>
            </w:tcBorders>
            <w:noWrap w:val="0"/>
            <w:vAlign w:val="top"/>
          </w:tcPr>
          <w:p w14:paraId="164A3F40">
            <w:pPr>
              <w:widowControl/>
              <w:jc w:val="left"/>
              <w:textAlignment w:val="top"/>
              <w:rPr>
                <w:rFonts w:hint="eastAsia" w:ascii="宋体" w:hAnsi="宋体" w:cs="宋体"/>
                <w:color w:val="000000"/>
              </w:rPr>
            </w:pPr>
            <w:r>
              <w:rPr>
                <w:rFonts w:hint="eastAsia" w:ascii="宋体" w:hAnsi="宋体" w:cs="宋体"/>
                <w:color w:val="000000"/>
                <w:kern w:val="0"/>
                <w:lang w:bidi="ar"/>
              </w:rPr>
              <w:t>说明书</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4D3C62E2">
            <w:pPr>
              <w:widowControl/>
              <w:jc w:val="left"/>
              <w:textAlignment w:val="top"/>
              <w:rPr>
                <w:color w:val="000000"/>
              </w:rPr>
            </w:pPr>
            <w:r>
              <w:rPr>
                <w:color w:val="000000"/>
                <w:kern w:val="0"/>
                <w:lang w:bidi="ar"/>
              </w:rPr>
              <w:t>1</w:t>
            </w:r>
          </w:p>
        </w:tc>
        <w:tc>
          <w:tcPr>
            <w:tcW w:w="1016" w:type="dxa"/>
            <w:tcBorders>
              <w:top w:val="single" w:color="000000" w:sz="4" w:space="0"/>
              <w:left w:val="single" w:color="000000" w:sz="4" w:space="0"/>
              <w:bottom w:val="single" w:color="000000" w:sz="4" w:space="0"/>
              <w:right w:val="single" w:color="000000" w:sz="4" w:space="0"/>
            </w:tcBorders>
            <w:noWrap w:val="0"/>
            <w:vAlign w:val="top"/>
          </w:tcPr>
          <w:p w14:paraId="596DB311">
            <w:pPr>
              <w:jc w:val="left"/>
              <w:rPr>
                <w:rFonts w:hint="eastAsia"/>
                <w:color w:val="000000"/>
                <w:sz w:val="20"/>
                <w:szCs w:val="20"/>
              </w:rPr>
            </w:pPr>
            <w:r>
              <w:rPr>
                <w:rFonts w:hint="eastAsia"/>
                <w:color w:val="000000"/>
                <w:sz w:val="20"/>
                <w:szCs w:val="20"/>
              </w:rPr>
              <w:t>份</w:t>
            </w:r>
          </w:p>
        </w:tc>
        <w:tc>
          <w:tcPr>
            <w:tcW w:w="4603" w:type="dxa"/>
            <w:tcBorders>
              <w:top w:val="single" w:color="000000" w:sz="4" w:space="0"/>
              <w:left w:val="single" w:color="000000" w:sz="4" w:space="0"/>
              <w:bottom w:val="single" w:color="000000" w:sz="4" w:space="0"/>
              <w:right w:val="single" w:color="000000" w:sz="4" w:space="0"/>
            </w:tcBorders>
            <w:noWrap w:val="0"/>
            <w:vAlign w:val="top"/>
          </w:tcPr>
          <w:p w14:paraId="49879E8E">
            <w:pPr>
              <w:jc w:val="left"/>
              <w:rPr>
                <w:color w:val="000000"/>
                <w:sz w:val="20"/>
                <w:szCs w:val="20"/>
              </w:rPr>
            </w:pPr>
          </w:p>
        </w:tc>
      </w:tr>
      <w:tr w14:paraId="2F243E61">
        <w:tblPrEx>
          <w:tblCellMar>
            <w:top w:w="0" w:type="dxa"/>
            <w:left w:w="108" w:type="dxa"/>
            <w:bottom w:w="0" w:type="dxa"/>
            <w:right w:w="108" w:type="dxa"/>
          </w:tblCellMar>
        </w:tblPrEx>
        <w:trPr>
          <w:trHeight w:val="260" w:hRule="atLeast"/>
        </w:trPr>
        <w:tc>
          <w:tcPr>
            <w:tcW w:w="858" w:type="dxa"/>
            <w:tcBorders>
              <w:top w:val="single" w:color="000000" w:sz="4" w:space="0"/>
              <w:left w:val="single" w:color="000000" w:sz="4" w:space="0"/>
              <w:bottom w:val="single" w:color="000000" w:sz="4" w:space="0"/>
              <w:right w:val="single" w:color="000000" w:sz="4" w:space="0"/>
            </w:tcBorders>
            <w:noWrap w:val="0"/>
            <w:vAlign w:val="top"/>
          </w:tcPr>
          <w:p w14:paraId="2625AE2E">
            <w:pPr>
              <w:widowControl/>
              <w:jc w:val="left"/>
              <w:textAlignment w:val="top"/>
              <w:rPr>
                <w:color w:val="000000"/>
              </w:rPr>
            </w:pPr>
            <w:r>
              <w:rPr>
                <w:color w:val="000000"/>
                <w:kern w:val="0"/>
                <w:lang w:bidi="ar"/>
              </w:rPr>
              <w:t>5</w:t>
            </w:r>
          </w:p>
        </w:tc>
        <w:tc>
          <w:tcPr>
            <w:tcW w:w="2275" w:type="dxa"/>
            <w:tcBorders>
              <w:top w:val="single" w:color="000000" w:sz="4" w:space="0"/>
              <w:left w:val="single" w:color="000000" w:sz="4" w:space="0"/>
              <w:bottom w:val="single" w:color="000000" w:sz="4" w:space="0"/>
              <w:right w:val="single" w:color="000000" w:sz="4" w:space="0"/>
            </w:tcBorders>
            <w:noWrap w:val="0"/>
            <w:vAlign w:val="top"/>
          </w:tcPr>
          <w:p w14:paraId="1E68D22F">
            <w:pPr>
              <w:widowControl/>
              <w:jc w:val="left"/>
              <w:textAlignment w:val="top"/>
              <w:rPr>
                <w:rFonts w:hint="eastAsia" w:ascii="宋体" w:hAnsi="宋体" w:cs="宋体"/>
                <w:color w:val="000000"/>
              </w:rPr>
            </w:pPr>
            <w:r>
              <w:rPr>
                <w:rFonts w:hint="eastAsia" w:ascii="宋体" w:hAnsi="宋体" w:cs="宋体"/>
                <w:color w:val="000000"/>
                <w:kern w:val="0"/>
                <w:lang w:bidi="ar"/>
              </w:rPr>
              <w:t>使用手册</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0D79AF4F">
            <w:pPr>
              <w:widowControl/>
              <w:jc w:val="left"/>
              <w:textAlignment w:val="top"/>
              <w:rPr>
                <w:color w:val="000000"/>
              </w:rPr>
            </w:pPr>
            <w:r>
              <w:rPr>
                <w:color w:val="000000"/>
                <w:kern w:val="0"/>
                <w:lang w:bidi="ar"/>
              </w:rPr>
              <w:t>1</w:t>
            </w:r>
          </w:p>
        </w:tc>
        <w:tc>
          <w:tcPr>
            <w:tcW w:w="1016" w:type="dxa"/>
            <w:tcBorders>
              <w:top w:val="single" w:color="000000" w:sz="4" w:space="0"/>
              <w:left w:val="single" w:color="000000" w:sz="4" w:space="0"/>
              <w:bottom w:val="single" w:color="000000" w:sz="4" w:space="0"/>
              <w:right w:val="single" w:color="000000" w:sz="4" w:space="0"/>
            </w:tcBorders>
            <w:noWrap w:val="0"/>
            <w:vAlign w:val="top"/>
          </w:tcPr>
          <w:p w14:paraId="41065F18">
            <w:pPr>
              <w:jc w:val="left"/>
              <w:rPr>
                <w:rFonts w:hint="eastAsia"/>
                <w:color w:val="000000"/>
                <w:sz w:val="20"/>
                <w:szCs w:val="20"/>
              </w:rPr>
            </w:pPr>
            <w:r>
              <w:rPr>
                <w:rFonts w:hint="eastAsia"/>
                <w:color w:val="000000"/>
                <w:sz w:val="20"/>
                <w:szCs w:val="20"/>
              </w:rPr>
              <w:t>份</w:t>
            </w:r>
          </w:p>
        </w:tc>
        <w:tc>
          <w:tcPr>
            <w:tcW w:w="4603" w:type="dxa"/>
            <w:tcBorders>
              <w:top w:val="single" w:color="000000" w:sz="4" w:space="0"/>
              <w:left w:val="single" w:color="000000" w:sz="4" w:space="0"/>
              <w:bottom w:val="single" w:color="000000" w:sz="4" w:space="0"/>
              <w:right w:val="single" w:color="000000" w:sz="4" w:space="0"/>
            </w:tcBorders>
            <w:noWrap w:val="0"/>
            <w:vAlign w:val="top"/>
          </w:tcPr>
          <w:p w14:paraId="2828C5FA">
            <w:pPr>
              <w:jc w:val="left"/>
              <w:rPr>
                <w:color w:val="000000"/>
                <w:sz w:val="20"/>
                <w:szCs w:val="20"/>
              </w:rPr>
            </w:pPr>
          </w:p>
        </w:tc>
      </w:tr>
      <w:tr w14:paraId="68578193">
        <w:tblPrEx>
          <w:tblCellMar>
            <w:top w:w="0" w:type="dxa"/>
            <w:left w:w="108" w:type="dxa"/>
            <w:bottom w:w="0" w:type="dxa"/>
            <w:right w:w="108" w:type="dxa"/>
          </w:tblCellMar>
        </w:tblPrEx>
        <w:trPr>
          <w:trHeight w:val="260" w:hRule="atLeast"/>
        </w:trPr>
        <w:tc>
          <w:tcPr>
            <w:tcW w:w="858" w:type="dxa"/>
            <w:tcBorders>
              <w:top w:val="single" w:color="000000" w:sz="4" w:space="0"/>
              <w:left w:val="single" w:color="000000" w:sz="4" w:space="0"/>
              <w:bottom w:val="single" w:color="000000" w:sz="4" w:space="0"/>
              <w:right w:val="single" w:color="000000" w:sz="4" w:space="0"/>
            </w:tcBorders>
            <w:noWrap w:val="0"/>
            <w:vAlign w:val="top"/>
          </w:tcPr>
          <w:p w14:paraId="1A8C200F">
            <w:pPr>
              <w:widowControl/>
              <w:jc w:val="left"/>
              <w:textAlignment w:val="top"/>
              <w:rPr>
                <w:color w:val="000000"/>
              </w:rPr>
            </w:pPr>
            <w:r>
              <w:rPr>
                <w:color w:val="000000"/>
                <w:kern w:val="0"/>
                <w:lang w:bidi="ar"/>
              </w:rPr>
              <w:t>6</w:t>
            </w:r>
          </w:p>
        </w:tc>
        <w:tc>
          <w:tcPr>
            <w:tcW w:w="2275" w:type="dxa"/>
            <w:tcBorders>
              <w:top w:val="single" w:color="000000" w:sz="4" w:space="0"/>
              <w:left w:val="single" w:color="000000" w:sz="4" w:space="0"/>
              <w:bottom w:val="single" w:color="000000" w:sz="4" w:space="0"/>
              <w:right w:val="single" w:color="000000" w:sz="4" w:space="0"/>
            </w:tcBorders>
            <w:noWrap w:val="0"/>
            <w:vAlign w:val="top"/>
          </w:tcPr>
          <w:p w14:paraId="3D30164E">
            <w:pPr>
              <w:widowControl/>
              <w:jc w:val="left"/>
              <w:textAlignment w:val="top"/>
              <w:rPr>
                <w:rFonts w:hint="eastAsia" w:ascii="宋体" w:hAnsi="宋体" w:cs="宋体"/>
                <w:color w:val="000000"/>
              </w:rPr>
            </w:pPr>
            <w:r>
              <w:rPr>
                <w:rFonts w:hint="eastAsia" w:ascii="宋体" w:hAnsi="宋体" w:cs="宋体"/>
                <w:color w:val="000000"/>
                <w:kern w:val="0"/>
                <w:lang w:bidi="ar"/>
              </w:rPr>
              <w:t>电源线</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5D3A5AFC">
            <w:pPr>
              <w:widowControl/>
              <w:jc w:val="left"/>
              <w:textAlignment w:val="top"/>
              <w:rPr>
                <w:color w:val="000000"/>
              </w:rPr>
            </w:pPr>
            <w:r>
              <w:rPr>
                <w:color w:val="000000"/>
                <w:kern w:val="0"/>
                <w:lang w:bidi="ar"/>
              </w:rPr>
              <w:t>1</w:t>
            </w:r>
          </w:p>
        </w:tc>
        <w:tc>
          <w:tcPr>
            <w:tcW w:w="1016" w:type="dxa"/>
            <w:tcBorders>
              <w:top w:val="single" w:color="000000" w:sz="4" w:space="0"/>
              <w:left w:val="single" w:color="000000" w:sz="4" w:space="0"/>
              <w:bottom w:val="single" w:color="000000" w:sz="4" w:space="0"/>
              <w:right w:val="single" w:color="000000" w:sz="4" w:space="0"/>
            </w:tcBorders>
            <w:noWrap w:val="0"/>
            <w:vAlign w:val="top"/>
          </w:tcPr>
          <w:p w14:paraId="190C62D9">
            <w:pPr>
              <w:jc w:val="left"/>
              <w:rPr>
                <w:rFonts w:hint="eastAsia"/>
                <w:color w:val="000000"/>
                <w:sz w:val="20"/>
                <w:szCs w:val="20"/>
              </w:rPr>
            </w:pPr>
            <w:r>
              <w:rPr>
                <w:rFonts w:hint="eastAsia"/>
                <w:color w:val="000000"/>
                <w:sz w:val="20"/>
                <w:szCs w:val="20"/>
              </w:rPr>
              <w:t>条</w:t>
            </w:r>
          </w:p>
        </w:tc>
        <w:tc>
          <w:tcPr>
            <w:tcW w:w="4603" w:type="dxa"/>
            <w:tcBorders>
              <w:top w:val="single" w:color="000000" w:sz="4" w:space="0"/>
              <w:left w:val="single" w:color="000000" w:sz="4" w:space="0"/>
              <w:bottom w:val="single" w:color="000000" w:sz="4" w:space="0"/>
              <w:right w:val="single" w:color="000000" w:sz="4" w:space="0"/>
            </w:tcBorders>
            <w:noWrap w:val="0"/>
            <w:vAlign w:val="top"/>
          </w:tcPr>
          <w:p w14:paraId="2B126FA5">
            <w:pPr>
              <w:jc w:val="left"/>
              <w:rPr>
                <w:color w:val="000000"/>
                <w:sz w:val="20"/>
                <w:szCs w:val="20"/>
              </w:rPr>
            </w:pPr>
          </w:p>
        </w:tc>
      </w:tr>
      <w:tr w14:paraId="28E2C09E">
        <w:tblPrEx>
          <w:tblCellMar>
            <w:top w:w="0" w:type="dxa"/>
            <w:left w:w="108" w:type="dxa"/>
            <w:bottom w:w="0" w:type="dxa"/>
            <w:right w:w="108" w:type="dxa"/>
          </w:tblCellMar>
        </w:tblPrEx>
        <w:trPr>
          <w:trHeight w:val="285" w:hRule="atLeast"/>
        </w:trPr>
        <w:tc>
          <w:tcPr>
            <w:tcW w:w="858" w:type="dxa"/>
            <w:tcBorders>
              <w:top w:val="single" w:color="000000" w:sz="4" w:space="0"/>
              <w:left w:val="single" w:color="000000" w:sz="4" w:space="0"/>
              <w:bottom w:val="single" w:color="000000" w:sz="4" w:space="0"/>
              <w:right w:val="single" w:color="000000" w:sz="4" w:space="0"/>
            </w:tcBorders>
            <w:noWrap w:val="0"/>
            <w:vAlign w:val="top"/>
          </w:tcPr>
          <w:p w14:paraId="5E655AE1">
            <w:pPr>
              <w:widowControl/>
              <w:jc w:val="left"/>
              <w:textAlignment w:val="top"/>
              <w:rPr>
                <w:color w:val="000000"/>
              </w:rPr>
            </w:pPr>
            <w:r>
              <w:rPr>
                <w:color w:val="000000"/>
                <w:kern w:val="0"/>
                <w:lang w:bidi="ar"/>
              </w:rPr>
              <w:t>7</w:t>
            </w:r>
          </w:p>
        </w:tc>
        <w:tc>
          <w:tcPr>
            <w:tcW w:w="2275" w:type="dxa"/>
            <w:tcBorders>
              <w:top w:val="single" w:color="000000" w:sz="4" w:space="0"/>
              <w:left w:val="single" w:color="000000" w:sz="4" w:space="0"/>
              <w:bottom w:val="single" w:color="000000" w:sz="4" w:space="0"/>
              <w:right w:val="single" w:color="000000" w:sz="4" w:space="0"/>
            </w:tcBorders>
            <w:noWrap w:val="0"/>
            <w:vAlign w:val="top"/>
          </w:tcPr>
          <w:p w14:paraId="359FE753">
            <w:pPr>
              <w:widowControl/>
              <w:jc w:val="left"/>
              <w:textAlignment w:val="top"/>
              <w:rPr>
                <w:rFonts w:hint="eastAsia" w:ascii="宋体" w:hAnsi="宋体" w:cs="宋体"/>
                <w:color w:val="000000"/>
              </w:rPr>
            </w:pPr>
            <w:r>
              <w:rPr>
                <w:rFonts w:hint="eastAsia" w:ascii="宋体" w:hAnsi="宋体" w:cs="宋体"/>
                <w:color w:val="000000"/>
                <w:kern w:val="0"/>
                <w:lang w:bidi="ar"/>
              </w:rPr>
              <w:t>台式电脑</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5FEBFE33">
            <w:pPr>
              <w:widowControl/>
              <w:jc w:val="left"/>
              <w:textAlignment w:val="top"/>
              <w:rPr>
                <w:color w:val="000000"/>
              </w:rPr>
            </w:pPr>
            <w:r>
              <w:rPr>
                <w:color w:val="000000"/>
                <w:kern w:val="0"/>
                <w:lang w:bidi="ar"/>
              </w:rPr>
              <w:t>1</w:t>
            </w:r>
          </w:p>
        </w:tc>
        <w:tc>
          <w:tcPr>
            <w:tcW w:w="1016" w:type="dxa"/>
            <w:tcBorders>
              <w:top w:val="single" w:color="000000" w:sz="4" w:space="0"/>
              <w:left w:val="single" w:color="000000" w:sz="4" w:space="0"/>
              <w:bottom w:val="single" w:color="000000" w:sz="4" w:space="0"/>
              <w:right w:val="single" w:color="000000" w:sz="4" w:space="0"/>
            </w:tcBorders>
            <w:noWrap w:val="0"/>
            <w:vAlign w:val="top"/>
          </w:tcPr>
          <w:p w14:paraId="2CA0937A">
            <w:pPr>
              <w:jc w:val="left"/>
              <w:rPr>
                <w:rFonts w:hint="eastAsia"/>
                <w:color w:val="000000"/>
                <w:sz w:val="20"/>
                <w:szCs w:val="20"/>
              </w:rPr>
            </w:pPr>
            <w:r>
              <w:rPr>
                <w:rFonts w:hint="eastAsia"/>
                <w:color w:val="000000"/>
                <w:sz w:val="20"/>
                <w:szCs w:val="20"/>
              </w:rPr>
              <w:t>台</w:t>
            </w:r>
          </w:p>
        </w:tc>
        <w:tc>
          <w:tcPr>
            <w:tcW w:w="4603" w:type="dxa"/>
            <w:tcBorders>
              <w:top w:val="single" w:color="000000" w:sz="4" w:space="0"/>
              <w:left w:val="single" w:color="000000" w:sz="4" w:space="0"/>
              <w:bottom w:val="single" w:color="000000" w:sz="4" w:space="0"/>
              <w:right w:val="single" w:color="000000" w:sz="4" w:space="0"/>
            </w:tcBorders>
            <w:noWrap w:val="0"/>
            <w:vAlign w:val="top"/>
          </w:tcPr>
          <w:p w14:paraId="57149A24">
            <w:pPr>
              <w:jc w:val="left"/>
              <w:rPr>
                <w:color w:val="000000"/>
                <w:sz w:val="20"/>
                <w:szCs w:val="20"/>
              </w:rPr>
            </w:pPr>
          </w:p>
        </w:tc>
      </w:tr>
      <w:tr w14:paraId="6703D0E0">
        <w:tblPrEx>
          <w:tblCellMar>
            <w:top w:w="0" w:type="dxa"/>
            <w:left w:w="108" w:type="dxa"/>
            <w:bottom w:w="0" w:type="dxa"/>
            <w:right w:w="108" w:type="dxa"/>
          </w:tblCellMar>
        </w:tblPrEx>
        <w:trPr>
          <w:trHeight w:val="285" w:hRule="atLeast"/>
        </w:trPr>
        <w:tc>
          <w:tcPr>
            <w:tcW w:w="858" w:type="dxa"/>
            <w:tcBorders>
              <w:top w:val="single" w:color="000000" w:sz="4" w:space="0"/>
              <w:left w:val="single" w:color="000000" w:sz="4" w:space="0"/>
              <w:bottom w:val="single" w:color="000000" w:sz="4" w:space="0"/>
              <w:right w:val="single" w:color="000000" w:sz="4" w:space="0"/>
            </w:tcBorders>
            <w:noWrap w:val="0"/>
            <w:vAlign w:val="top"/>
          </w:tcPr>
          <w:p w14:paraId="71412389">
            <w:pPr>
              <w:widowControl/>
              <w:jc w:val="left"/>
              <w:textAlignment w:val="top"/>
              <w:rPr>
                <w:color w:val="000000"/>
              </w:rPr>
            </w:pPr>
            <w:r>
              <w:rPr>
                <w:color w:val="000000"/>
                <w:kern w:val="0"/>
                <w:lang w:bidi="ar"/>
              </w:rPr>
              <w:t>8</w:t>
            </w:r>
          </w:p>
        </w:tc>
        <w:tc>
          <w:tcPr>
            <w:tcW w:w="2275" w:type="dxa"/>
            <w:tcBorders>
              <w:top w:val="single" w:color="000000" w:sz="4" w:space="0"/>
              <w:left w:val="single" w:color="000000" w:sz="4" w:space="0"/>
              <w:bottom w:val="single" w:color="000000" w:sz="4" w:space="0"/>
              <w:right w:val="single" w:color="000000" w:sz="4" w:space="0"/>
            </w:tcBorders>
            <w:noWrap w:val="0"/>
            <w:vAlign w:val="top"/>
          </w:tcPr>
          <w:p w14:paraId="390DC8C5">
            <w:pPr>
              <w:widowControl/>
              <w:jc w:val="left"/>
              <w:textAlignment w:val="top"/>
              <w:rPr>
                <w:rFonts w:hint="eastAsia" w:ascii="宋体" w:hAnsi="宋体" w:cs="宋体"/>
                <w:color w:val="000000"/>
              </w:rPr>
            </w:pPr>
            <w:r>
              <w:rPr>
                <w:rFonts w:hint="eastAsia" w:ascii="宋体" w:hAnsi="宋体" w:cs="宋体"/>
                <w:color w:val="000000"/>
                <w:kern w:val="0"/>
                <w:lang w:bidi="ar"/>
              </w:rPr>
              <w:t>扫码枪</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06EB9A02">
            <w:pPr>
              <w:widowControl/>
              <w:jc w:val="left"/>
              <w:textAlignment w:val="top"/>
              <w:rPr>
                <w:color w:val="000000"/>
              </w:rPr>
            </w:pPr>
            <w:r>
              <w:rPr>
                <w:color w:val="000000"/>
                <w:kern w:val="0"/>
                <w:lang w:bidi="ar"/>
              </w:rPr>
              <w:t>1</w:t>
            </w:r>
          </w:p>
        </w:tc>
        <w:tc>
          <w:tcPr>
            <w:tcW w:w="1016" w:type="dxa"/>
            <w:tcBorders>
              <w:top w:val="single" w:color="000000" w:sz="4" w:space="0"/>
              <w:left w:val="single" w:color="000000" w:sz="4" w:space="0"/>
              <w:bottom w:val="single" w:color="000000" w:sz="4" w:space="0"/>
              <w:right w:val="single" w:color="000000" w:sz="4" w:space="0"/>
            </w:tcBorders>
            <w:noWrap w:val="0"/>
            <w:vAlign w:val="top"/>
          </w:tcPr>
          <w:p w14:paraId="29D583A0">
            <w:pPr>
              <w:widowControl/>
              <w:jc w:val="left"/>
              <w:textAlignment w:val="top"/>
              <w:rPr>
                <w:rFonts w:ascii="宋体" w:hAnsi="宋体" w:cs="宋体"/>
                <w:color w:val="000000"/>
                <w:kern w:val="0"/>
                <w:lang w:bidi="ar"/>
              </w:rPr>
            </w:pPr>
            <w:r>
              <w:rPr>
                <w:rFonts w:hint="eastAsia" w:ascii="宋体" w:hAnsi="宋体" w:cs="宋体"/>
                <w:color w:val="000000"/>
                <w:kern w:val="0"/>
                <w:lang w:bidi="ar"/>
              </w:rPr>
              <w:t>把</w:t>
            </w:r>
          </w:p>
        </w:tc>
        <w:tc>
          <w:tcPr>
            <w:tcW w:w="4603" w:type="dxa"/>
            <w:tcBorders>
              <w:top w:val="single" w:color="000000" w:sz="4" w:space="0"/>
              <w:left w:val="single" w:color="000000" w:sz="4" w:space="0"/>
              <w:bottom w:val="single" w:color="000000" w:sz="4" w:space="0"/>
              <w:right w:val="single" w:color="000000" w:sz="4" w:space="0"/>
            </w:tcBorders>
            <w:noWrap w:val="0"/>
            <w:vAlign w:val="top"/>
          </w:tcPr>
          <w:p w14:paraId="617459FA">
            <w:pPr>
              <w:widowControl/>
              <w:jc w:val="left"/>
              <w:textAlignment w:val="top"/>
              <w:rPr>
                <w:rFonts w:hint="eastAsia" w:ascii="宋体" w:hAnsi="宋体" w:cs="宋体"/>
                <w:color w:val="000000"/>
              </w:rPr>
            </w:pPr>
            <w:r>
              <w:rPr>
                <w:rFonts w:hint="eastAsia" w:ascii="宋体" w:hAnsi="宋体" w:cs="宋体"/>
                <w:color w:val="000000"/>
                <w:kern w:val="0"/>
                <w:lang w:bidi="ar"/>
              </w:rPr>
              <w:t>读取样本条码、</w:t>
            </w:r>
            <w:r>
              <w:rPr>
                <w:rStyle w:val="5"/>
                <w:lang w:bidi="ar"/>
              </w:rPr>
              <w:t xml:space="preserve">QR </w:t>
            </w:r>
            <w:r>
              <w:rPr>
                <w:rStyle w:val="6"/>
                <w:rFonts w:hint="default"/>
                <w:lang w:bidi="ar"/>
              </w:rPr>
              <w:t>条码用</w:t>
            </w:r>
          </w:p>
        </w:tc>
      </w:tr>
      <w:tr w14:paraId="4601F35E">
        <w:tblPrEx>
          <w:tblCellMar>
            <w:top w:w="0" w:type="dxa"/>
            <w:left w:w="108" w:type="dxa"/>
            <w:bottom w:w="0" w:type="dxa"/>
            <w:right w:w="108" w:type="dxa"/>
          </w:tblCellMar>
        </w:tblPrEx>
        <w:trPr>
          <w:trHeight w:val="285" w:hRule="atLeast"/>
        </w:trPr>
        <w:tc>
          <w:tcPr>
            <w:tcW w:w="858" w:type="dxa"/>
            <w:tcBorders>
              <w:top w:val="single" w:color="000000" w:sz="4" w:space="0"/>
              <w:left w:val="single" w:color="000000" w:sz="4" w:space="0"/>
              <w:bottom w:val="single" w:color="000000" w:sz="4" w:space="0"/>
              <w:right w:val="single" w:color="000000" w:sz="4" w:space="0"/>
            </w:tcBorders>
            <w:noWrap w:val="0"/>
            <w:vAlign w:val="top"/>
          </w:tcPr>
          <w:p w14:paraId="568CD9E9">
            <w:pPr>
              <w:widowControl/>
              <w:jc w:val="left"/>
              <w:textAlignment w:val="top"/>
              <w:rPr>
                <w:color w:val="000000"/>
              </w:rPr>
            </w:pPr>
            <w:r>
              <w:rPr>
                <w:color w:val="000000"/>
                <w:kern w:val="0"/>
                <w:lang w:bidi="ar"/>
              </w:rPr>
              <w:t>9</w:t>
            </w:r>
          </w:p>
        </w:tc>
        <w:tc>
          <w:tcPr>
            <w:tcW w:w="2275" w:type="dxa"/>
            <w:tcBorders>
              <w:top w:val="single" w:color="000000" w:sz="4" w:space="0"/>
              <w:left w:val="single" w:color="000000" w:sz="4" w:space="0"/>
              <w:bottom w:val="single" w:color="000000" w:sz="4" w:space="0"/>
              <w:right w:val="single" w:color="000000" w:sz="4" w:space="0"/>
            </w:tcBorders>
            <w:noWrap w:val="0"/>
            <w:vAlign w:val="top"/>
          </w:tcPr>
          <w:p w14:paraId="517080DF">
            <w:pPr>
              <w:widowControl/>
              <w:jc w:val="left"/>
              <w:textAlignment w:val="top"/>
              <w:rPr>
                <w:rFonts w:hint="eastAsia" w:ascii="宋体" w:hAnsi="宋体" w:cs="宋体"/>
                <w:color w:val="000000"/>
              </w:rPr>
            </w:pPr>
            <w:r>
              <w:rPr>
                <w:rFonts w:hint="eastAsia" w:ascii="宋体" w:hAnsi="宋体" w:cs="宋体"/>
                <w:color w:val="000000"/>
                <w:kern w:val="0"/>
                <w:lang w:bidi="ar"/>
              </w:rPr>
              <w:t>触摸屏</w:t>
            </w:r>
          </w:p>
        </w:tc>
        <w:tc>
          <w:tcPr>
            <w:tcW w:w="1000" w:type="dxa"/>
            <w:tcBorders>
              <w:top w:val="single" w:color="000000" w:sz="4" w:space="0"/>
              <w:left w:val="single" w:color="000000" w:sz="4" w:space="0"/>
              <w:bottom w:val="single" w:color="000000" w:sz="4" w:space="0"/>
              <w:right w:val="single" w:color="000000" w:sz="4" w:space="0"/>
            </w:tcBorders>
            <w:noWrap w:val="0"/>
            <w:vAlign w:val="top"/>
          </w:tcPr>
          <w:p w14:paraId="7CDBD616">
            <w:pPr>
              <w:widowControl/>
              <w:jc w:val="left"/>
              <w:textAlignment w:val="top"/>
              <w:rPr>
                <w:color w:val="000000"/>
              </w:rPr>
            </w:pPr>
            <w:r>
              <w:rPr>
                <w:color w:val="000000"/>
                <w:kern w:val="0"/>
                <w:lang w:bidi="ar"/>
              </w:rPr>
              <w:t>1</w:t>
            </w:r>
          </w:p>
        </w:tc>
        <w:tc>
          <w:tcPr>
            <w:tcW w:w="1016" w:type="dxa"/>
            <w:tcBorders>
              <w:top w:val="single" w:color="000000" w:sz="4" w:space="0"/>
              <w:left w:val="single" w:color="000000" w:sz="4" w:space="0"/>
              <w:bottom w:val="single" w:color="000000" w:sz="4" w:space="0"/>
              <w:right w:val="single" w:color="000000" w:sz="4" w:space="0"/>
            </w:tcBorders>
            <w:noWrap/>
            <w:vAlign w:val="center"/>
          </w:tcPr>
          <w:p w14:paraId="0A1A30EB">
            <w:pPr>
              <w:jc w:val="left"/>
              <w:rPr>
                <w:rFonts w:hint="eastAsia" w:ascii="宋体" w:hAnsi="宋体" w:cs="宋体"/>
                <w:color w:val="000000"/>
                <w:sz w:val="22"/>
                <w:szCs w:val="22"/>
              </w:rPr>
            </w:pPr>
            <w:r>
              <w:rPr>
                <w:rFonts w:hint="eastAsia" w:ascii="宋体" w:hAnsi="宋体" w:cs="宋体"/>
                <w:color w:val="000000"/>
                <w:sz w:val="22"/>
                <w:szCs w:val="22"/>
              </w:rPr>
              <w:t>个</w:t>
            </w:r>
          </w:p>
        </w:tc>
        <w:tc>
          <w:tcPr>
            <w:tcW w:w="4603" w:type="dxa"/>
            <w:tcBorders>
              <w:top w:val="single" w:color="000000" w:sz="4" w:space="0"/>
              <w:left w:val="single" w:color="000000" w:sz="4" w:space="0"/>
              <w:bottom w:val="single" w:color="000000" w:sz="4" w:space="0"/>
              <w:right w:val="single" w:color="000000" w:sz="4" w:space="0"/>
            </w:tcBorders>
            <w:noWrap/>
            <w:vAlign w:val="center"/>
          </w:tcPr>
          <w:p w14:paraId="7B8D6E12">
            <w:pPr>
              <w:jc w:val="left"/>
              <w:rPr>
                <w:rFonts w:hint="eastAsia" w:ascii="宋体" w:hAnsi="宋体" w:cs="宋体"/>
                <w:color w:val="000000"/>
                <w:sz w:val="22"/>
                <w:szCs w:val="22"/>
              </w:rPr>
            </w:pPr>
          </w:p>
        </w:tc>
      </w:tr>
    </w:tbl>
    <w:p w14:paraId="24EAFE09">
      <w:pPr>
        <w:widowControl/>
        <w:jc w:val="left"/>
        <w:rPr>
          <w:rFonts w:hint="eastAsia" w:ascii="宋体" w:hAnsi="宋体" w:cs="宋体"/>
          <w:b/>
          <w:bCs/>
          <w:kern w:val="0"/>
          <w:sz w:val="24"/>
          <w:szCs w:val="24"/>
        </w:rPr>
      </w:pPr>
    </w:p>
    <w:p w14:paraId="092545EA">
      <w:pPr>
        <w:widowControl/>
        <w:jc w:val="left"/>
        <w:rPr>
          <w:rFonts w:hint="eastAsia" w:ascii="宋体" w:hAnsi="宋体" w:cs="宋体"/>
          <w:b/>
          <w:bCs/>
          <w:kern w:val="0"/>
          <w:sz w:val="24"/>
          <w:szCs w:val="24"/>
        </w:rPr>
      </w:pPr>
      <w:r>
        <w:rPr>
          <w:rFonts w:hint="eastAsia" w:ascii="宋体" w:hAnsi="宋体" w:cs="宋体"/>
          <w:b/>
          <w:bCs/>
          <w:kern w:val="0"/>
          <w:sz w:val="24"/>
          <w:szCs w:val="24"/>
        </w:rPr>
        <w:t>八、病原菌生物标志物检测与识别分析软件</w:t>
      </w:r>
    </w:p>
    <w:p w14:paraId="78FDC0F1">
      <w:pPr>
        <w:pStyle w:val="2"/>
        <w:ind w:firstLine="0" w:firstLineChars="0"/>
        <w:rPr>
          <w:rFonts w:hint="eastAsia" w:ascii="宋体" w:hAnsi="宋体" w:cs="宋体"/>
          <w:kern w:val="0"/>
          <w:sz w:val="24"/>
          <w:szCs w:val="24"/>
        </w:rPr>
      </w:pPr>
      <w:r>
        <w:rPr>
          <w:rFonts w:hint="eastAsia" w:ascii="宋体" w:hAnsi="宋体" w:cs="宋体"/>
          <w:kern w:val="0"/>
          <w:sz w:val="24"/>
          <w:szCs w:val="24"/>
        </w:rPr>
        <w:t>1、质谱数据处理能力</w:t>
      </w:r>
    </w:p>
    <w:p w14:paraId="3ECD98E0">
      <w:pPr>
        <w:pStyle w:val="2"/>
        <w:ind w:firstLine="0" w:firstLineChars="0"/>
        <w:rPr>
          <w:rFonts w:hint="eastAsia" w:ascii="宋体" w:hAnsi="宋体" w:cs="宋体"/>
          <w:kern w:val="0"/>
          <w:sz w:val="24"/>
          <w:szCs w:val="24"/>
        </w:rPr>
      </w:pPr>
      <w:r>
        <w:rPr>
          <w:rFonts w:hint="eastAsia" w:ascii="宋体" w:hAnsi="宋体" w:cs="宋体"/>
          <w:kern w:val="0"/>
          <w:sz w:val="24"/>
          <w:szCs w:val="24"/>
        </w:rPr>
        <w:t>1.1质量范围：1,000–100,000 Da（微生物 / 蛋白质组常用2–20 kDa）</w:t>
      </w:r>
    </w:p>
    <w:p w14:paraId="7B4CF776">
      <w:pPr>
        <w:pStyle w:val="2"/>
        <w:ind w:firstLine="0" w:firstLineChars="0"/>
        <w:rPr>
          <w:rFonts w:hint="eastAsia" w:ascii="宋体" w:hAnsi="宋体" w:cs="宋体"/>
          <w:kern w:val="0"/>
          <w:sz w:val="24"/>
          <w:szCs w:val="24"/>
        </w:rPr>
      </w:pPr>
      <w:r>
        <w:rPr>
          <w:rFonts w:hint="eastAsia" w:ascii="宋体" w:hAnsi="宋体" w:cs="宋体"/>
          <w:kern w:val="0"/>
          <w:sz w:val="24"/>
          <w:szCs w:val="24"/>
        </w:rPr>
        <w:t>1.2输入格式：布鲁克 *.fid/*.spectrum、mzXML、mzML（兼容主流质谱）</w:t>
      </w:r>
    </w:p>
    <w:p w14:paraId="27FE9A55">
      <w:pPr>
        <w:pStyle w:val="2"/>
        <w:ind w:firstLine="0" w:firstLineChars="0"/>
        <w:rPr>
          <w:rFonts w:hint="eastAsia" w:ascii="宋体" w:hAnsi="宋体" w:cs="宋体"/>
          <w:kern w:val="0"/>
          <w:sz w:val="24"/>
          <w:szCs w:val="24"/>
        </w:rPr>
      </w:pPr>
      <w:r>
        <w:rPr>
          <w:rFonts w:hint="eastAsia" w:ascii="宋体" w:hAnsi="宋体" w:cs="宋体"/>
          <w:kern w:val="0"/>
          <w:sz w:val="24"/>
          <w:szCs w:val="24"/>
        </w:rPr>
        <w:t>1.3峰提取（信噪比 S/N≥3–10，可设）</w:t>
      </w:r>
    </w:p>
    <w:p w14:paraId="519FA3FC">
      <w:pPr>
        <w:pStyle w:val="2"/>
        <w:ind w:firstLine="0" w:firstLineChars="0"/>
        <w:rPr>
          <w:rFonts w:hint="eastAsia" w:ascii="宋体" w:hAnsi="宋体" w:cs="宋体"/>
          <w:kern w:val="0"/>
          <w:sz w:val="24"/>
          <w:szCs w:val="24"/>
        </w:rPr>
      </w:pPr>
      <w:r>
        <w:rPr>
          <w:rFonts w:hint="eastAsia" w:ascii="宋体" w:hAnsi="宋体" w:cs="宋体"/>
          <w:kern w:val="0"/>
          <w:sz w:val="24"/>
          <w:szCs w:val="24"/>
        </w:rPr>
        <w:t>1.4单批次处理量：≥1000 张谱图（取决于内存）</w:t>
      </w:r>
    </w:p>
    <w:p w14:paraId="639629F8">
      <w:pPr>
        <w:pStyle w:val="2"/>
        <w:ind w:firstLine="0" w:firstLineChars="0"/>
        <w:rPr>
          <w:rFonts w:hint="eastAsia" w:ascii="宋体" w:hAnsi="宋体" w:cs="宋体"/>
          <w:kern w:val="0"/>
          <w:sz w:val="24"/>
          <w:szCs w:val="24"/>
        </w:rPr>
      </w:pPr>
      <w:r>
        <w:rPr>
          <w:rFonts w:hint="eastAsia" w:ascii="宋体" w:hAnsi="宋体" w:cs="宋体"/>
          <w:kern w:val="0"/>
          <w:sz w:val="24"/>
          <w:szCs w:val="24"/>
        </w:rPr>
        <w:t>1.5峰容量：单谱最多2,000 个峰（微生物指纹通常 50–200 个）</w:t>
      </w:r>
    </w:p>
    <w:p w14:paraId="272F032B">
      <w:pPr>
        <w:pStyle w:val="2"/>
        <w:ind w:firstLine="0" w:firstLineChars="0"/>
        <w:rPr>
          <w:rFonts w:hint="eastAsia" w:ascii="宋体" w:hAnsi="宋体" w:cs="宋体"/>
          <w:kern w:val="0"/>
          <w:sz w:val="24"/>
          <w:szCs w:val="24"/>
        </w:rPr>
      </w:pPr>
      <w:r>
        <w:rPr>
          <w:rFonts w:hint="eastAsia" w:ascii="宋体" w:hAnsi="宋体" w:cs="宋体"/>
          <w:kern w:val="0"/>
          <w:sz w:val="24"/>
          <w:szCs w:val="24"/>
        </w:rPr>
        <w:t>2、核心算法至少包括：</w:t>
      </w:r>
    </w:p>
    <w:p w14:paraId="56D23DE5">
      <w:pPr>
        <w:pStyle w:val="2"/>
        <w:ind w:firstLine="0" w:firstLineChars="0"/>
        <w:rPr>
          <w:rFonts w:hint="eastAsia" w:ascii="宋体" w:hAnsi="宋体" w:cs="宋体"/>
          <w:kern w:val="0"/>
          <w:sz w:val="24"/>
          <w:szCs w:val="24"/>
        </w:rPr>
      </w:pPr>
      <w:r>
        <w:rPr>
          <w:rFonts w:hint="eastAsia" w:ascii="宋体" w:hAnsi="宋体" w:cs="宋体"/>
          <w:kern w:val="0"/>
          <w:sz w:val="24"/>
          <w:szCs w:val="24"/>
        </w:rPr>
        <w:t xml:space="preserve">2.1 QuickClassifier（QC，单变量） </w:t>
      </w:r>
    </w:p>
    <w:p w14:paraId="7D909475">
      <w:pPr>
        <w:pStyle w:val="2"/>
        <w:ind w:firstLine="0" w:firstLineChars="0"/>
        <w:rPr>
          <w:rFonts w:hint="eastAsia" w:ascii="宋体" w:hAnsi="宋体" w:cs="宋体"/>
          <w:kern w:val="0"/>
          <w:sz w:val="24"/>
          <w:szCs w:val="24"/>
        </w:rPr>
      </w:pPr>
      <w:r>
        <w:rPr>
          <w:rFonts w:hint="eastAsia" w:ascii="宋体" w:hAnsi="宋体" w:cs="宋体"/>
          <w:kern w:val="0"/>
          <w:sz w:val="24"/>
          <w:szCs w:val="24"/>
        </w:rPr>
        <w:t>检验：t 检验 / Welch’s t、ANOVA、秩和检验</w:t>
      </w:r>
    </w:p>
    <w:p w14:paraId="42895EC9">
      <w:pPr>
        <w:pStyle w:val="2"/>
        <w:ind w:firstLine="0" w:firstLineChars="0"/>
        <w:rPr>
          <w:rFonts w:hint="eastAsia" w:ascii="宋体" w:hAnsi="宋体" w:cs="宋体"/>
          <w:kern w:val="0"/>
          <w:sz w:val="24"/>
          <w:szCs w:val="24"/>
        </w:rPr>
      </w:pPr>
      <w:r>
        <w:rPr>
          <w:rFonts w:hint="eastAsia" w:ascii="宋体" w:hAnsi="宋体" w:cs="宋体"/>
          <w:kern w:val="0"/>
          <w:sz w:val="24"/>
          <w:szCs w:val="24"/>
        </w:rPr>
        <w:t>输出：峰 p 值排序、ROC 曲线（AUC）、灵敏度 / 特异性</w:t>
      </w:r>
    </w:p>
    <w:p w14:paraId="28D9D850">
      <w:pPr>
        <w:pStyle w:val="2"/>
        <w:ind w:firstLine="0" w:firstLineChars="0"/>
        <w:rPr>
          <w:rFonts w:hint="eastAsia" w:ascii="宋体" w:hAnsi="宋体" w:cs="宋体"/>
          <w:kern w:val="0"/>
          <w:sz w:val="24"/>
          <w:szCs w:val="24"/>
        </w:rPr>
      </w:pPr>
      <w:r>
        <w:rPr>
          <w:rFonts w:hint="eastAsia" w:ascii="宋体" w:hAnsi="宋体" w:cs="宋体"/>
          <w:kern w:val="0"/>
          <w:sz w:val="24"/>
          <w:szCs w:val="24"/>
        </w:rPr>
        <w:t xml:space="preserve">2.2 Genetic Algorithm（GA，多变量） </w:t>
      </w:r>
    </w:p>
    <w:p w14:paraId="3F84E0D6">
      <w:pPr>
        <w:pStyle w:val="2"/>
        <w:ind w:firstLine="0" w:firstLineChars="0"/>
        <w:rPr>
          <w:rFonts w:hint="eastAsia" w:ascii="宋体" w:hAnsi="宋体" w:cs="宋体"/>
          <w:kern w:val="0"/>
          <w:sz w:val="24"/>
          <w:szCs w:val="24"/>
        </w:rPr>
      </w:pPr>
      <w:r>
        <w:rPr>
          <w:rFonts w:hint="eastAsia" w:ascii="宋体" w:hAnsi="宋体" w:cs="宋体"/>
          <w:kern w:val="0"/>
          <w:sz w:val="24"/>
          <w:szCs w:val="24"/>
        </w:rPr>
        <w:t>模拟进化：交叉 / 突变 / 选择，迭代10–100 代</w:t>
      </w:r>
    </w:p>
    <w:p w14:paraId="3C478EE8">
      <w:pPr>
        <w:pStyle w:val="2"/>
        <w:ind w:firstLine="0" w:firstLineChars="0"/>
        <w:rPr>
          <w:rFonts w:hint="eastAsia" w:ascii="宋体" w:hAnsi="宋体" w:cs="宋体"/>
          <w:kern w:val="0"/>
          <w:sz w:val="24"/>
          <w:szCs w:val="24"/>
        </w:rPr>
      </w:pPr>
      <w:r>
        <w:rPr>
          <w:rFonts w:hint="eastAsia" w:ascii="宋体" w:hAnsi="宋体" w:cs="宋体"/>
          <w:kern w:val="0"/>
          <w:sz w:val="24"/>
          <w:szCs w:val="24"/>
        </w:rPr>
        <w:t>输出：最优峰组合（生物标志物 panel）、交叉验证准确率</w:t>
      </w:r>
    </w:p>
    <w:p w14:paraId="1DC9600B">
      <w:pPr>
        <w:pStyle w:val="2"/>
        <w:ind w:firstLine="0" w:firstLineChars="0"/>
        <w:rPr>
          <w:rFonts w:hint="eastAsia" w:ascii="宋体" w:hAnsi="宋体" w:cs="宋体"/>
          <w:kern w:val="0"/>
          <w:sz w:val="24"/>
          <w:szCs w:val="24"/>
        </w:rPr>
      </w:pPr>
      <w:r>
        <w:rPr>
          <w:rFonts w:hint="eastAsia" w:ascii="宋体" w:hAnsi="宋体" w:cs="宋体"/>
          <w:kern w:val="0"/>
          <w:sz w:val="24"/>
          <w:szCs w:val="24"/>
        </w:rPr>
        <w:t xml:space="preserve">2.3 Support Vector Machine（SVM，多变量） </w:t>
      </w:r>
    </w:p>
    <w:p w14:paraId="1AA25FA2">
      <w:pPr>
        <w:pStyle w:val="2"/>
        <w:ind w:firstLine="0" w:firstLineChars="0"/>
        <w:rPr>
          <w:rFonts w:hint="eastAsia" w:ascii="宋体" w:hAnsi="宋体" w:cs="宋体"/>
          <w:kern w:val="0"/>
          <w:sz w:val="24"/>
          <w:szCs w:val="24"/>
        </w:rPr>
      </w:pPr>
      <w:r>
        <w:rPr>
          <w:rFonts w:hint="eastAsia" w:ascii="宋体" w:hAnsi="宋体" w:cs="宋体"/>
          <w:kern w:val="0"/>
          <w:sz w:val="24"/>
          <w:szCs w:val="24"/>
        </w:rPr>
        <w:t>核函数：线性 / RBF / 多项式</w:t>
      </w:r>
    </w:p>
    <w:p w14:paraId="7EBC881C">
      <w:pPr>
        <w:pStyle w:val="2"/>
        <w:ind w:firstLine="0" w:firstLineChars="0"/>
        <w:rPr>
          <w:rFonts w:hint="eastAsia" w:ascii="宋体" w:hAnsi="宋体" w:cs="宋体"/>
          <w:kern w:val="0"/>
          <w:sz w:val="24"/>
          <w:szCs w:val="24"/>
        </w:rPr>
      </w:pPr>
      <w:r>
        <w:rPr>
          <w:rFonts w:hint="eastAsia" w:ascii="宋体" w:hAnsi="宋体" w:cs="宋体"/>
          <w:kern w:val="0"/>
          <w:sz w:val="24"/>
          <w:szCs w:val="24"/>
        </w:rPr>
        <w:t>输出：高维分类超平面、交叉验证（CV）误差</w:t>
      </w:r>
    </w:p>
    <w:p w14:paraId="539B7701">
      <w:pPr>
        <w:pStyle w:val="2"/>
        <w:ind w:firstLine="0" w:firstLineChars="0"/>
        <w:rPr>
          <w:rFonts w:hint="eastAsia" w:ascii="宋体" w:hAnsi="宋体" w:cs="宋体"/>
          <w:kern w:val="0"/>
          <w:sz w:val="24"/>
          <w:szCs w:val="24"/>
        </w:rPr>
      </w:pPr>
      <w:r>
        <w:rPr>
          <w:rFonts w:hint="eastAsia" w:ascii="宋体" w:hAnsi="宋体" w:cs="宋体"/>
          <w:kern w:val="0"/>
          <w:sz w:val="24"/>
          <w:szCs w:val="24"/>
        </w:rPr>
        <w:t xml:space="preserve">2.4 Supervised Neural Network（SNN，多变量） </w:t>
      </w:r>
    </w:p>
    <w:p w14:paraId="12839E92">
      <w:pPr>
        <w:pStyle w:val="2"/>
        <w:ind w:firstLine="0" w:firstLineChars="0"/>
        <w:rPr>
          <w:rFonts w:hint="eastAsia" w:ascii="宋体" w:hAnsi="宋体" w:cs="宋体"/>
          <w:kern w:val="0"/>
          <w:sz w:val="24"/>
          <w:szCs w:val="24"/>
        </w:rPr>
      </w:pPr>
      <w:r>
        <w:rPr>
          <w:rFonts w:hint="eastAsia" w:ascii="宋体" w:hAnsi="宋体" w:cs="宋体"/>
          <w:kern w:val="0"/>
          <w:sz w:val="24"/>
          <w:szCs w:val="24"/>
        </w:rPr>
        <w:t>结构：输入层（峰）→隐藏层→输出层（类别）</w:t>
      </w:r>
    </w:p>
    <w:p w14:paraId="6E12AB3E">
      <w:pPr>
        <w:pStyle w:val="2"/>
        <w:ind w:firstLine="0" w:firstLineChars="0"/>
        <w:rPr>
          <w:rFonts w:hint="eastAsia" w:ascii="宋体" w:hAnsi="宋体" w:cs="宋体"/>
          <w:kern w:val="0"/>
          <w:sz w:val="24"/>
          <w:szCs w:val="24"/>
        </w:rPr>
      </w:pPr>
      <w:r>
        <w:rPr>
          <w:rFonts w:hint="eastAsia" w:ascii="宋体" w:hAnsi="宋体" w:cs="宋体"/>
          <w:kern w:val="0"/>
          <w:sz w:val="24"/>
          <w:szCs w:val="24"/>
        </w:rPr>
        <w:t>输出：分类模型、混淆矩阵</w:t>
      </w:r>
    </w:p>
    <w:p w14:paraId="1EA003FC">
      <w:pPr>
        <w:pStyle w:val="2"/>
        <w:ind w:firstLine="0" w:firstLineChars="0"/>
        <w:rPr>
          <w:rFonts w:hint="eastAsia" w:ascii="宋体" w:hAnsi="宋体" w:cs="宋体"/>
          <w:kern w:val="0"/>
          <w:sz w:val="24"/>
          <w:szCs w:val="24"/>
        </w:rPr>
      </w:pPr>
      <w:r>
        <w:rPr>
          <w:rFonts w:hint="eastAsia" w:ascii="宋体" w:hAnsi="宋体" w:cs="宋体"/>
          <w:kern w:val="0"/>
          <w:sz w:val="24"/>
          <w:szCs w:val="24"/>
        </w:rPr>
        <w:t>3、统计与模型验证参数</w:t>
      </w:r>
    </w:p>
    <w:p w14:paraId="5EAAB0F5">
      <w:pPr>
        <w:pStyle w:val="2"/>
        <w:ind w:firstLine="0" w:firstLineChars="0"/>
        <w:rPr>
          <w:rFonts w:hint="eastAsia" w:ascii="宋体" w:hAnsi="宋体" w:cs="宋体"/>
          <w:kern w:val="0"/>
          <w:sz w:val="24"/>
          <w:szCs w:val="24"/>
        </w:rPr>
      </w:pPr>
      <w:r>
        <w:rPr>
          <w:rFonts w:hint="eastAsia" w:ascii="宋体" w:hAnsi="宋体" w:cs="宋体"/>
          <w:kern w:val="0"/>
          <w:sz w:val="24"/>
          <w:szCs w:val="24"/>
        </w:rPr>
        <w:t>3.1支持类别数：≥10 类（如多菌株 / 多病种）</w:t>
      </w:r>
    </w:p>
    <w:p w14:paraId="633CE58B">
      <w:pPr>
        <w:pStyle w:val="2"/>
        <w:ind w:firstLine="0" w:firstLineChars="0"/>
        <w:rPr>
          <w:rFonts w:hint="eastAsia" w:ascii="宋体" w:hAnsi="宋体" w:cs="宋体"/>
          <w:kern w:val="0"/>
          <w:sz w:val="24"/>
          <w:szCs w:val="24"/>
        </w:rPr>
      </w:pPr>
      <w:r>
        <w:rPr>
          <w:rFonts w:hint="eastAsia" w:ascii="宋体" w:hAnsi="宋体" w:cs="宋体"/>
          <w:kern w:val="0"/>
          <w:sz w:val="24"/>
          <w:szCs w:val="24"/>
        </w:rPr>
        <w:t xml:space="preserve">3.2验证方法包括： </w:t>
      </w:r>
    </w:p>
    <w:p w14:paraId="1B328F0E">
      <w:pPr>
        <w:pStyle w:val="2"/>
        <w:ind w:firstLine="0" w:firstLineChars="0"/>
        <w:rPr>
          <w:rFonts w:hint="eastAsia" w:ascii="宋体" w:hAnsi="宋体" w:cs="宋体"/>
          <w:kern w:val="0"/>
          <w:sz w:val="24"/>
          <w:szCs w:val="24"/>
        </w:rPr>
      </w:pPr>
      <w:r>
        <w:rPr>
          <w:rFonts w:hint="eastAsia" w:ascii="宋体" w:hAnsi="宋体" w:cs="宋体"/>
          <w:kern w:val="0"/>
          <w:sz w:val="24"/>
          <w:szCs w:val="24"/>
        </w:rPr>
        <w:t>交叉验证（CV）：k 折（k=5/10）、留一法（LOOCV）</w:t>
      </w:r>
    </w:p>
    <w:p w14:paraId="7AE383BB">
      <w:pPr>
        <w:pStyle w:val="2"/>
        <w:ind w:firstLine="0" w:firstLineChars="0"/>
        <w:rPr>
          <w:rFonts w:ascii="宋体" w:hAnsi="宋体" w:cs="宋体"/>
          <w:kern w:val="0"/>
          <w:sz w:val="24"/>
          <w:szCs w:val="24"/>
        </w:rPr>
      </w:pPr>
      <w:r>
        <w:rPr>
          <w:rFonts w:hint="eastAsia" w:ascii="宋体" w:hAnsi="宋体" w:cs="宋体"/>
          <w:kern w:val="0"/>
          <w:sz w:val="24"/>
          <w:szCs w:val="24"/>
        </w:rPr>
        <w:t>外部验证：独立测试集（推荐 30% 样本）</w:t>
      </w:r>
    </w:p>
    <w:p w14:paraId="5C9B9CF8">
      <w:pPr>
        <w:pStyle w:val="2"/>
        <w:ind w:firstLine="0" w:firstLineChars="0"/>
        <w:rPr>
          <w:rFonts w:ascii="宋体" w:hAnsi="宋体" w:cs="宋体"/>
          <w:kern w:val="0"/>
          <w:sz w:val="24"/>
          <w:szCs w:val="24"/>
        </w:rPr>
      </w:pPr>
    </w:p>
    <w:p w14:paraId="0C86FD6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43AF33"/>
    <w:multiLevelType w:val="singleLevel"/>
    <w:tmpl w:val="6B43AF33"/>
    <w:lvl w:ilvl="0" w:tentative="0">
      <w:start w:val="1"/>
      <w:numFmt w:val="decimal"/>
      <w:lvlText w:val="%1"/>
      <w:lvlJc w:val="left"/>
      <w:pPr>
        <w:tabs>
          <w:tab w:val="left" w:pos="420"/>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722D72"/>
    <w:rsid w:val="053F077B"/>
    <w:rsid w:val="129F0AAB"/>
    <w:rsid w:val="14053B5A"/>
    <w:rsid w:val="180A2E6A"/>
    <w:rsid w:val="185C232B"/>
    <w:rsid w:val="20DD28F3"/>
    <w:rsid w:val="218F5136"/>
    <w:rsid w:val="2593624D"/>
    <w:rsid w:val="279B763B"/>
    <w:rsid w:val="29A24CB1"/>
    <w:rsid w:val="2FF82914"/>
    <w:rsid w:val="303456E6"/>
    <w:rsid w:val="314B3E80"/>
    <w:rsid w:val="3203475A"/>
    <w:rsid w:val="37C93D50"/>
    <w:rsid w:val="44F97D8C"/>
    <w:rsid w:val="45D5219B"/>
    <w:rsid w:val="4698326B"/>
    <w:rsid w:val="5FF217E7"/>
    <w:rsid w:val="61C8231C"/>
    <w:rsid w:val="622B7232"/>
    <w:rsid w:val="7BDD2EF3"/>
    <w:rsid w:val="7D1961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0"/>
    </w:rPr>
  </w:style>
  <w:style w:type="character" w:customStyle="1" w:styleId="5">
    <w:name w:val="font21"/>
    <w:qFormat/>
    <w:uiPriority w:val="0"/>
    <w:rPr>
      <w:rFonts w:hint="default" w:ascii="Times New Roman" w:hAnsi="Times New Roman" w:cs="Times New Roman"/>
      <w:color w:val="000000"/>
      <w:sz w:val="21"/>
      <w:szCs w:val="21"/>
      <w:u w:val="none"/>
    </w:rPr>
  </w:style>
  <w:style w:type="character" w:customStyle="1" w:styleId="6">
    <w:name w:val="font1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4265</Words>
  <Characters>4924</Characters>
  <Lines>0</Lines>
  <Paragraphs>0</Paragraphs>
  <TotalTime>2</TotalTime>
  <ScaleCrop>false</ScaleCrop>
  <LinksUpToDate>false</LinksUpToDate>
  <CharactersWithSpaces>5060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2026-09-20T08:26:00Z</dcterms:created>
  <dc:creator>Administrator</dc:creator>
  <cp:lastModifiedBy>杨露</cp:lastModifiedBy>
  <dcterms:modified xsi:type="dcterms:W3CDTF">2026-10-19T13:25:33Z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eyJoZGlkIjoiYTY0ZGJmNjUxOWNiYmJiNTZmOTdhZjE2OWE2ZGY4YjAiLCJ1c2VySWQiOiI1ODcxMTg2NzEifQ==</vt:lpwstr>
  </property>
  <property fmtid="{D5CDD505-2E9C-101B-9397-08002B2CF9AE}" pid="4" name="ICV">
    <vt:lpwstr>040A7ADE666D456A965BA1EE64F40882_12</vt:lpwstr>
  </property>
</Properties>
</file>